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4F" w:rsidRDefault="00AC0C4F" w:rsidP="00AC0C4F">
      <w:pPr>
        <w:pStyle w:val="Nagwek"/>
        <w:spacing w:line="288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Zambrów, 20 listopada 2019 r.</w:t>
      </w:r>
    </w:p>
    <w:p w:rsidR="00AC0C4F" w:rsidRDefault="00AC0C4F" w:rsidP="00C26D7C">
      <w:pPr>
        <w:pStyle w:val="Nagwek"/>
        <w:spacing w:line="24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FD4628" w:rsidRPr="00C05FDE" w:rsidRDefault="00AC0C4F" w:rsidP="00C26D7C">
      <w:pPr>
        <w:pStyle w:val="Nagwek"/>
        <w:spacing w:line="24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</w:t>
      </w:r>
      <w:r w:rsidR="00FD4628" w:rsidRPr="00C05FDE">
        <w:rPr>
          <w:rFonts w:ascii="Tahoma" w:hAnsi="Tahoma" w:cs="Tahoma"/>
          <w:b/>
          <w:sz w:val="22"/>
          <w:szCs w:val="22"/>
        </w:rPr>
        <w:t xml:space="preserve">ykonawcy </w:t>
      </w:r>
      <w:r>
        <w:rPr>
          <w:rFonts w:ascii="Tahoma" w:hAnsi="Tahoma" w:cs="Tahoma"/>
          <w:b/>
          <w:sz w:val="22"/>
          <w:szCs w:val="22"/>
        </w:rPr>
        <w:t xml:space="preserve">ubiegający się o udzielenie zamówienia </w:t>
      </w:r>
      <w:r w:rsidR="00AF178C" w:rsidRPr="00C05FDE">
        <w:rPr>
          <w:rFonts w:ascii="Tahoma" w:hAnsi="Tahoma" w:cs="Tahoma"/>
          <w:b/>
          <w:sz w:val="22"/>
          <w:szCs w:val="22"/>
        </w:rPr>
        <w:t xml:space="preserve">- informacja nr  </w:t>
      </w:r>
      <w:r w:rsidR="008F6092" w:rsidRPr="00C05FDE">
        <w:rPr>
          <w:rFonts w:ascii="Tahoma" w:hAnsi="Tahoma" w:cs="Tahoma"/>
          <w:b/>
          <w:sz w:val="22"/>
          <w:szCs w:val="22"/>
        </w:rPr>
        <w:t>1</w:t>
      </w:r>
    </w:p>
    <w:p w:rsidR="009C43FF" w:rsidRPr="00C05FDE" w:rsidRDefault="009C43FF" w:rsidP="00C26D7C">
      <w:pPr>
        <w:pStyle w:val="Nagwek"/>
        <w:spacing w:line="24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5952D6" w:rsidRPr="00C05FDE" w:rsidRDefault="005952D6" w:rsidP="00C26D7C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val="de-DE" w:eastAsia="en-US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dotyczy:</w:t>
      </w:r>
      <w:r w:rsidRPr="00C05FDE">
        <w:rPr>
          <w:rFonts w:ascii="Tahoma" w:hAnsi="Tahoma" w:cs="Tahoma"/>
          <w:b/>
          <w:sz w:val="20"/>
          <w:szCs w:val="20"/>
        </w:rPr>
        <w:t xml:space="preserve"> postępowania o udzielenie </w:t>
      </w:r>
      <w:r w:rsidR="00605A09" w:rsidRPr="00C05FDE">
        <w:rPr>
          <w:rFonts w:ascii="Tahoma" w:hAnsi="Tahoma" w:cs="Tahoma"/>
          <w:b/>
          <w:sz w:val="20"/>
          <w:szCs w:val="20"/>
        </w:rPr>
        <w:t>zamówienia publicznego w trybie</w:t>
      </w:r>
      <w:r w:rsidR="009C43FF" w:rsidRPr="00C05FDE">
        <w:rPr>
          <w:rFonts w:ascii="Tahoma" w:hAnsi="Tahoma" w:cs="Tahoma"/>
          <w:b/>
          <w:sz w:val="20"/>
          <w:szCs w:val="20"/>
        </w:rPr>
        <w:t xml:space="preserve"> przetargu </w:t>
      </w:r>
      <w:r w:rsidR="00605A09" w:rsidRPr="00C05FDE">
        <w:rPr>
          <w:rFonts w:ascii="Tahoma" w:hAnsi="Tahoma" w:cs="Tahoma"/>
          <w:b/>
          <w:sz w:val="20"/>
          <w:szCs w:val="20"/>
        </w:rPr>
        <w:t>n</w:t>
      </w:r>
      <w:r w:rsidR="009C43FF" w:rsidRPr="00C05FDE">
        <w:rPr>
          <w:rFonts w:ascii="Tahoma" w:hAnsi="Tahoma" w:cs="Tahoma"/>
          <w:b/>
          <w:sz w:val="20"/>
          <w:szCs w:val="20"/>
        </w:rPr>
        <w:t>ieograniczonego  na U</w:t>
      </w:r>
      <w:r w:rsidRPr="00C05FDE">
        <w:rPr>
          <w:rFonts w:ascii="Tahoma" w:hAnsi="Tahoma" w:cs="Tahoma"/>
          <w:b/>
          <w:sz w:val="20"/>
          <w:szCs w:val="20"/>
        </w:rPr>
        <w:t xml:space="preserve">bezpieczenie majątku i innych interesów </w:t>
      </w:r>
      <w:r w:rsidR="00CE2E56" w:rsidRPr="00C05FDE">
        <w:rPr>
          <w:rFonts w:ascii="Tahoma" w:hAnsi="Tahoma" w:cs="Tahoma"/>
          <w:b/>
          <w:sz w:val="20"/>
          <w:szCs w:val="20"/>
        </w:rPr>
        <w:t xml:space="preserve"> </w:t>
      </w:r>
      <w:r w:rsidR="00605A09" w:rsidRPr="00C05FDE">
        <w:rPr>
          <w:rFonts w:ascii="Tahoma" w:hAnsi="Tahoma" w:cs="Tahoma"/>
          <w:b/>
          <w:sz w:val="20"/>
          <w:szCs w:val="20"/>
        </w:rPr>
        <w:t>Miasta Zambrów</w:t>
      </w:r>
      <w:r w:rsidRPr="00C05FDE">
        <w:rPr>
          <w:rFonts w:ascii="Tahoma" w:hAnsi="Tahoma" w:cs="Tahoma"/>
          <w:b/>
          <w:sz w:val="20"/>
          <w:szCs w:val="20"/>
        </w:rPr>
        <w:t xml:space="preserve"> </w:t>
      </w:r>
      <w:r w:rsidR="00605A09" w:rsidRPr="00C05FDE">
        <w:rPr>
          <w:rFonts w:ascii="Tahoma" w:hAnsi="Tahoma" w:cs="Tahoma"/>
          <w:b/>
          <w:sz w:val="20"/>
          <w:szCs w:val="20"/>
        </w:rPr>
        <w:t>wraz z </w:t>
      </w:r>
      <w:r w:rsidR="001D4A0D" w:rsidRPr="00C05FDE">
        <w:rPr>
          <w:rFonts w:ascii="Tahoma" w:hAnsi="Tahoma" w:cs="Tahoma"/>
          <w:b/>
          <w:sz w:val="20"/>
          <w:szCs w:val="20"/>
        </w:rPr>
        <w:t xml:space="preserve">jednostkami organizacyjnymi w latach 2020-2022 </w:t>
      </w:r>
      <w:r w:rsidRPr="00C05FDE">
        <w:rPr>
          <w:rFonts w:ascii="Tahoma" w:hAnsi="Tahoma" w:cs="Tahoma"/>
          <w:b/>
          <w:sz w:val="20"/>
          <w:szCs w:val="20"/>
        </w:rPr>
        <w:t>(numer postępowania:</w:t>
      </w:r>
      <w:r w:rsidR="00685B62" w:rsidRPr="00C05FDE">
        <w:rPr>
          <w:rFonts w:ascii="Tahoma" w:hAnsi="Tahoma" w:cs="Tahoma"/>
          <w:b/>
          <w:sz w:val="20"/>
          <w:szCs w:val="20"/>
        </w:rPr>
        <w:t xml:space="preserve"> </w:t>
      </w:r>
      <w:r w:rsidR="001848F5" w:rsidRPr="00C05FDE">
        <w:rPr>
          <w:rFonts w:ascii="Tahoma" w:eastAsia="Times New Roman" w:hAnsi="Tahoma" w:cs="Tahoma"/>
          <w:sz w:val="20"/>
          <w:szCs w:val="20"/>
        </w:rPr>
        <w:t>Or.271.1.2019</w:t>
      </w:r>
      <w:r w:rsidRPr="00C05FDE">
        <w:rPr>
          <w:rFonts w:ascii="Tahoma" w:hAnsi="Tahoma" w:cs="Tahoma"/>
          <w:b/>
          <w:sz w:val="20"/>
          <w:szCs w:val="20"/>
        </w:rPr>
        <w:t>)</w:t>
      </w:r>
    </w:p>
    <w:p w:rsidR="005952D6" w:rsidRPr="00C05FDE" w:rsidRDefault="005952D6" w:rsidP="00C26D7C">
      <w:pPr>
        <w:spacing w:line="24" w:lineRule="atLeast"/>
        <w:jc w:val="both"/>
        <w:rPr>
          <w:rFonts w:ascii="Tahoma" w:hAnsi="Tahoma" w:cs="Tahoma"/>
          <w:sz w:val="20"/>
          <w:szCs w:val="20"/>
        </w:rPr>
      </w:pPr>
    </w:p>
    <w:p w:rsidR="005952D6" w:rsidRPr="00C05FDE" w:rsidRDefault="009E61BB" w:rsidP="00C26D7C">
      <w:pPr>
        <w:tabs>
          <w:tab w:val="left" w:pos="0"/>
        </w:tabs>
        <w:spacing w:line="24" w:lineRule="atLeast"/>
        <w:jc w:val="both"/>
        <w:rPr>
          <w:rFonts w:ascii="Tahoma" w:hAnsi="Tahoma" w:cs="Tahoma"/>
          <w:sz w:val="20"/>
        </w:rPr>
      </w:pPr>
      <w:r w:rsidRPr="00C05FDE">
        <w:rPr>
          <w:rFonts w:ascii="Tahoma" w:hAnsi="Tahoma" w:cs="Tahoma"/>
          <w:sz w:val="20"/>
        </w:rPr>
        <w:tab/>
      </w:r>
      <w:r w:rsidR="005952D6" w:rsidRPr="00C05FDE">
        <w:rPr>
          <w:rFonts w:ascii="Tahoma" w:hAnsi="Tahoma" w:cs="Tahoma"/>
          <w:sz w:val="20"/>
        </w:rPr>
        <w:t>Zamawiający prowadząc postępowanie w sprawie udzielenia zamówienia publicznego w trybie</w:t>
      </w:r>
      <w:r w:rsidR="00685B62" w:rsidRPr="00C05FDE">
        <w:rPr>
          <w:rFonts w:ascii="Tahoma" w:hAnsi="Tahoma" w:cs="Tahoma"/>
          <w:sz w:val="20"/>
        </w:rPr>
        <w:t xml:space="preserve"> przetargu nieograniczonego na U</w:t>
      </w:r>
      <w:r w:rsidR="005952D6" w:rsidRPr="00C05FDE">
        <w:rPr>
          <w:rFonts w:ascii="Tahoma" w:hAnsi="Tahoma" w:cs="Tahoma"/>
          <w:sz w:val="20"/>
        </w:rPr>
        <w:t xml:space="preserve">bezpieczenie </w:t>
      </w:r>
      <w:r w:rsidR="005952D6" w:rsidRPr="00C05FDE">
        <w:rPr>
          <w:rFonts w:ascii="Tahoma" w:hAnsi="Tahoma" w:cs="Tahoma"/>
          <w:sz w:val="20"/>
          <w:szCs w:val="20"/>
        </w:rPr>
        <w:t xml:space="preserve">majątku i innych interesów </w:t>
      </w:r>
      <w:r w:rsidR="00605A09" w:rsidRPr="00C05FDE">
        <w:rPr>
          <w:rFonts w:ascii="Tahoma" w:hAnsi="Tahoma" w:cs="Tahoma"/>
          <w:sz w:val="20"/>
          <w:szCs w:val="20"/>
        </w:rPr>
        <w:t>Miasta Zambrów wraz z </w:t>
      </w:r>
      <w:r w:rsidR="001D4A0D" w:rsidRPr="00C05FDE">
        <w:rPr>
          <w:rFonts w:ascii="Tahoma" w:hAnsi="Tahoma" w:cs="Tahoma"/>
          <w:sz w:val="20"/>
          <w:szCs w:val="20"/>
        </w:rPr>
        <w:t>jednostkami organizacyjnymi w latach 2020-2022</w:t>
      </w:r>
      <w:r w:rsidR="005952D6" w:rsidRPr="00C05FDE">
        <w:rPr>
          <w:rFonts w:ascii="Tahoma" w:hAnsi="Tahoma" w:cs="Tahoma"/>
          <w:sz w:val="20"/>
        </w:rPr>
        <w:t>, na podstawie:</w:t>
      </w:r>
    </w:p>
    <w:p w:rsidR="001D4A0D" w:rsidRPr="00C05FDE" w:rsidRDefault="001D4A0D" w:rsidP="00C26D7C">
      <w:pPr>
        <w:tabs>
          <w:tab w:val="left" w:pos="0"/>
        </w:tabs>
        <w:spacing w:line="24" w:lineRule="atLeast"/>
        <w:jc w:val="both"/>
        <w:rPr>
          <w:rFonts w:ascii="Tahoma" w:hAnsi="Tahoma" w:cs="Tahoma"/>
          <w:sz w:val="20"/>
        </w:rPr>
      </w:pPr>
    </w:p>
    <w:p w:rsidR="00FD713C" w:rsidRPr="00C05FDE" w:rsidRDefault="00FD713C" w:rsidP="00C26D7C">
      <w:pPr>
        <w:spacing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05FDE">
        <w:rPr>
          <w:rFonts w:ascii="Tahoma" w:eastAsia="Times New Roman" w:hAnsi="Tahoma" w:cs="Tahoma"/>
          <w:sz w:val="20"/>
          <w:szCs w:val="20"/>
        </w:rPr>
        <w:t xml:space="preserve">-  art. 38 ust. 4 ustawy z dnia 29 stycznia 2004 Prawo zamówień publicznych (tekst jedn. Dz.U. z 2019r., poz. 1843 z </w:t>
      </w:r>
      <w:proofErr w:type="spellStart"/>
      <w:r w:rsidRPr="00C05FDE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C05FDE">
        <w:rPr>
          <w:rFonts w:ascii="Tahoma" w:eastAsia="Times New Roman" w:hAnsi="Tahoma" w:cs="Tahoma"/>
          <w:sz w:val="20"/>
          <w:szCs w:val="20"/>
        </w:rPr>
        <w:t xml:space="preserve">. zm.) </w:t>
      </w:r>
      <w:r w:rsidR="00817D70" w:rsidRPr="00C05FDE">
        <w:rPr>
          <w:rFonts w:ascii="Tahoma" w:eastAsia="Times New Roman" w:hAnsi="Tahoma" w:cs="Tahoma"/>
          <w:sz w:val="20"/>
          <w:szCs w:val="20"/>
        </w:rPr>
        <w:t xml:space="preserve"> </w:t>
      </w:r>
      <w:r w:rsidR="00516E4A" w:rsidRPr="00C05FDE">
        <w:rPr>
          <w:rFonts w:ascii="Tahoma" w:eastAsia="Times New Roman" w:hAnsi="Tahoma" w:cs="Tahoma"/>
          <w:sz w:val="20"/>
          <w:szCs w:val="20"/>
        </w:rPr>
        <w:t xml:space="preserve">poniżej  informuje o zmianie </w:t>
      </w:r>
      <w:r w:rsidRPr="00C05FDE">
        <w:rPr>
          <w:rFonts w:ascii="Tahoma" w:eastAsia="Times New Roman" w:hAnsi="Tahoma" w:cs="Tahoma"/>
          <w:sz w:val="20"/>
          <w:szCs w:val="20"/>
        </w:rPr>
        <w:t xml:space="preserve"> treści SIWZ.</w:t>
      </w:r>
    </w:p>
    <w:p w:rsidR="00FD713C" w:rsidRPr="00C05FDE" w:rsidRDefault="00FD713C" w:rsidP="00C26D7C">
      <w:pPr>
        <w:spacing w:line="24" w:lineRule="atLeast"/>
        <w:rPr>
          <w:rFonts w:ascii="Tahoma" w:eastAsia="Times New Roman" w:hAnsi="Tahoma" w:cs="Tahoma"/>
          <w:sz w:val="20"/>
          <w:szCs w:val="20"/>
        </w:rPr>
      </w:pPr>
    </w:p>
    <w:p w:rsidR="00627A16" w:rsidRPr="00C05FDE" w:rsidRDefault="00D95C6D" w:rsidP="00C26D7C">
      <w:pPr>
        <w:spacing w:line="24" w:lineRule="atLeast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Z</w:t>
      </w:r>
      <w:r w:rsidR="006F3870" w:rsidRPr="00C05FDE">
        <w:rPr>
          <w:rFonts w:ascii="Tahoma" w:hAnsi="Tahoma" w:cs="Tahoma"/>
          <w:b/>
          <w:sz w:val="20"/>
          <w:szCs w:val="20"/>
        </w:rPr>
        <w:t>amawiający wyjaśnia, że ogłoszenie</w:t>
      </w:r>
      <w:r w:rsidR="00627A16" w:rsidRPr="00C05FDE">
        <w:rPr>
          <w:rFonts w:ascii="Tahoma" w:eastAsia="Times New Roman" w:hAnsi="Tahoma" w:cs="Tahoma"/>
          <w:b/>
          <w:sz w:val="20"/>
          <w:szCs w:val="20"/>
        </w:rPr>
        <w:t xml:space="preserve"> nr 621348-N-2019 z dnia 2019-11-13 r. </w:t>
      </w:r>
      <w:r w:rsidR="00605A09" w:rsidRPr="00C05FDE">
        <w:rPr>
          <w:rFonts w:ascii="Tahoma" w:eastAsia="Times New Roman" w:hAnsi="Tahoma" w:cs="Tahoma"/>
          <w:b/>
          <w:sz w:val="20"/>
          <w:szCs w:val="20"/>
        </w:rPr>
        <w:t xml:space="preserve"> o </w:t>
      </w:r>
      <w:r w:rsidR="00627A16" w:rsidRPr="00C05FDE">
        <w:rPr>
          <w:rFonts w:ascii="Tahoma" w:eastAsia="Times New Roman" w:hAnsi="Tahoma" w:cs="Tahoma"/>
          <w:b/>
          <w:sz w:val="20"/>
          <w:szCs w:val="20"/>
        </w:rPr>
        <w:t>zamówieniu: UBEZPIECZENIE MAJĄTKU I INNYCH INTERESÓW MIASTA ZAMBRÓW WRAZ Z JEDNOSTKAMI ORGANIZACYJNYMI w LATACH 2020 - 2022</w:t>
      </w:r>
      <w:r w:rsidR="00280C83" w:rsidRPr="00C05FDE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05A09" w:rsidRPr="00C05FDE">
        <w:rPr>
          <w:rFonts w:ascii="Tahoma" w:hAnsi="Tahoma" w:cs="Tahoma"/>
          <w:b/>
          <w:sz w:val="20"/>
          <w:szCs w:val="20"/>
        </w:rPr>
        <w:t>zawiera  informację</w:t>
      </w:r>
      <w:r w:rsidR="00627A16" w:rsidRPr="00C05FDE">
        <w:rPr>
          <w:rFonts w:ascii="Tahoma" w:hAnsi="Tahoma" w:cs="Tahoma"/>
          <w:b/>
          <w:sz w:val="20"/>
          <w:szCs w:val="20"/>
        </w:rPr>
        <w:t>, ż</w:t>
      </w:r>
      <w:r w:rsidR="00605A09" w:rsidRPr="00C05FDE">
        <w:rPr>
          <w:rFonts w:ascii="Tahoma" w:hAnsi="Tahoma" w:cs="Tahoma"/>
          <w:b/>
          <w:sz w:val="20"/>
          <w:szCs w:val="20"/>
        </w:rPr>
        <w:t>e</w:t>
      </w:r>
      <w:r w:rsidR="00627A16" w:rsidRPr="00C05FDE">
        <w:rPr>
          <w:rFonts w:ascii="Tahoma" w:hAnsi="Tahoma" w:cs="Tahoma"/>
          <w:b/>
          <w:sz w:val="20"/>
          <w:szCs w:val="20"/>
        </w:rPr>
        <w:t xml:space="preserve"> </w:t>
      </w:r>
      <w:r w:rsidR="00627A16" w:rsidRPr="00C05FDE">
        <w:rPr>
          <w:rFonts w:ascii="Tahoma" w:eastAsia="Times New Roman" w:hAnsi="Tahoma" w:cs="Tahoma"/>
          <w:b/>
          <w:sz w:val="20"/>
          <w:szCs w:val="20"/>
        </w:rPr>
        <w:t>zamówienie nie jest podzielone na części.</w:t>
      </w:r>
    </w:p>
    <w:p w:rsidR="00627A16" w:rsidRPr="00C05FDE" w:rsidRDefault="00627A16" w:rsidP="00C26D7C">
      <w:pPr>
        <w:spacing w:line="24" w:lineRule="atLeast"/>
        <w:contextualSpacing/>
        <w:rPr>
          <w:rFonts w:ascii="Tahoma" w:eastAsia="Times New Roman" w:hAnsi="Tahoma" w:cs="Tahoma"/>
          <w:sz w:val="20"/>
          <w:szCs w:val="20"/>
        </w:rPr>
      </w:pPr>
    </w:p>
    <w:p w:rsidR="00280C83" w:rsidRPr="00C05FDE" w:rsidRDefault="00280C83" w:rsidP="00C26D7C">
      <w:pPr>
        <w:spacing w:line="24" w:lineRule="atLeast"/>
        <w:contextualSpacing/>
        <w:rPr>
          <w:rFonts w:ascii="Tahoma" w:hAnsi="Tahoma" w:cs="Tahoma"/>
          <w:sz w:val="20"/>
          <w:szCs w:val="20"/>
        </w:rPr>
      </w:pPr>
      <w:r w:rsidRPr="00C05FDE">
        <w:rPr>
          <w:rFonts w:ascii="Tahoma" w:hAnsi="Tahoma" w:cs="Tahoma"/>
          <w:sz w:val="20"/>
          <w:szCs w:val="20"/>
        </w:rPr>
        <w:t>W związku z</w:t>
      </w:r>
      <w:r w:rsidR="00936F6E" w:rsidRPr="00C05FDE">
        <w:rPr>
          <w:rFonts w:ascii="Tahoma" w:hAnsi="Tahoma" w:cs="Tahoma"/>
          <w:sz w:val="20"/>
          <w:szCs w:val="20"/>
        </w:rPr>
        <w:t xml:space="preserve"> powyższym </w:t>
      </w:r>
      <w:r w:rsidRPr="00C05FDE">
        <w:rPr>
          <w:rFonts w:ascii="Tahoma" w:hAnsi="Tahoma" w:cs="Tahoma"/>
          <w:sz w:val="20"/>
          <w:szCs w:val="20"/>
        </w:rPr>
        <w:t xml:space="preserve">Zamawiający przedstawia poniżej  zmiany i prawidłowe zapisy </w:t>
      </w:r>
      <w:r w:rsidR="00936F6E" w:rsidRPr="00C05FDE">
        <w:rPr>
          <w:rFonts w:ascii="Tahoma" w:hAnsi="Tahoma" w:cs="Tahoma"/>
          <w:sz w:val="20"/>
          <w:szCs w:val="20"/>
        </w:rPr>
        <w:t>w SIWZ</w:t>
      </w:r>
      <w:r w:rsidRPr="00C05FDE">
        <w:rPr>
          <w:rFonts w:ascii="Tahoma" w:hAnsi="Tahoma" w:cs="Tahoma"/>
          <w:sz w:val="20"/>
          <w:szCs w:val="20"/>
        </w:rPr>
        <w:t xml:space="preserve"> :</w:t>
      </w:r>
    </w:p>
    <w:p w:rsidR="00280C83" w:rsidRPr="00C05FDE" w:rsidRDefault="00280C83" w:rsidP="00C26D7C">
      <w:pPr>
        <w:spacing w:line="24" w:lineRule="atLeast"/>
        <w:contextualSpacing/>
        <w:rPr>
          <w:rFonts w:ascii="Tahoma" w:hAnsi="Tahoma" w:cs="Tahoma"/>
          <w:sz w:val="20"/>
          <w:szCs w:val="20"/>
        </w:rPr>
      </w:pPr>
    </w:p>
    <w:p w:rsidR="00280C83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1)  </w:t>
      </w:r>
      <w:r w:rsidR="004D4B52" w:rsidRPr="00C05FDE">
        <w:rPr>
          <w:rFonts w:ascii="Tahoma" w:hAnsi="Tahoma" w:cs="Tahoma"/>
          <w:b/>
          <w:sz w:val="20"/>
          <w:szCs w:val="20"/>
          <w:u w:val="single"/>
        </w:rPr>
        <w:t>strona 8 SIWZ:</w:t>
      </w:r>
    </w:p>
    <w:p w:rsidR="004D4B52" w:rsidRPr="00C05FDE" w:rsidRDefault="004D4B52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4D4B52" w:rsidRPr="00C05FDE" w:rsidRDefault="004D4B52" w:rsidP="00C26D7C">
      <w:pPr>
        <w:widowControl w:val="0"/>
        <w:tabs>
          <w:tab w:val="left" w:pos="567"/>
        </w:tabs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Toc456007466"/>
      <w:bookmarkStart w:id="1" w:name="_Toc456007696"/>
      <w:bookmarkStart w:id="2" w:name="_Toc456085636"/>
      <w:r w:rsidRPr="00C05FDE">
        <w:rPr>
          <w:rFonts w:ascii="Tahoma" w:eastAsia="Times New Roman" w:hAnsi="Tahoma" w:cs="Tahoma"/>
          <w:sz w:val="20"/>
          <w:szCs w:val="20"/>
          <w:lang w:eastAsia="ar-SA"/>
        </w:rPr>
        <w:t>11.1.1. Każdy wykonawca może złożyć tylko jedną ofertę na wszystkie części zamówienia lub na wybraną część lub części zamówienia. W przypadku złożenia na daną część zamówienia więcej niż jednej oferty przez tego samego wykonawcę, wszystkie jego oferty zostaną odrzucone.</w:t>
      </w:r>
      <w:bookmarkEnd w:id="0"/>
      <w:bookmarkEnd w:id="1"/>
      <w:bookmarkEnd w:id="2"/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4D4B52" w:rsidRPr="00C05FDE" w:rsidRDefault="004D4B52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4D4B52" w:rsidRPr="00C05FDE" w:rsidRDefault="004D4B52" w:rsidP="00C26D7C">
      <w:pPr>
        <w:widowControl w:val="0"/>
        <w:tabs>
          <w:tab w:val="left" w:pos="567"/>
        </w:tabs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11.1.1. Każdy wykonawca może złożyć tylko jedną ofertę na zamówienie</w:t>
      </w:r>
      <w:r w:rsidR="00605A09" w:rsidRPr="00C05FDE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05A09" w:rsidRPr="00C05FDE">
        <w:rPr>
          <w:rFonts w:ascii="Tahoma" w:eastAsia="Times New Roman" w:hAnsi="Tahoma" w:cs="Tahoma"/>
          <w:sz w:val="20"/>
          <w:szCs w:val="20"/>
          <w:lang w:eastAsia="ar-SA"/>
        </w:rPr>
        <w:t>W przypadku złożenia na 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zamówienie więcej niż jednej oferty przez tego samego wykonawcę, wszystkie jego oferty zostaną odrzucone.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2) strona  9   SIWZ:</w:t>
      </w: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9F0175" w:rsidRPr="00C05FDE" w:rsidRDefault="009F0175" w:rsidP="00C26D7C">
      <w:pPr>
        <w:widowControl w:val="0"/>
        <w:tabs>
          <w:tab w:val="left" w:pos="851"/>
        </w:tabs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3" w:name="_Toc456007499"/>
      <w:bookmarkStart w:id="4" w:name="_Toc456007729"/>
      <w:bookmarkStart w:id="5" w:name="_Toc456085669"/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13.1. Cenę na każdą wybraną część zamówienia należy obliczyć za pełen </w:t>
      </w:r>
      <w:r w:rsidRPr="00C05FDE">
        <w:rPr>
          <w:rFonts w:ascii="Tahoma" w:eastAsia="Times New Roman" w:hAnsi="Tahoma" w:cs="Tahoma"/>
          <w:b/>
          <w:sz w:val="20"/>
          <w:szCs w:val="20"/>
          <w:lang w:eastAsia="ar-SA"/>
        </w:rPr>
        <w:t>36 miesięczny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 okres zamówienia i cały przedmiot zamówienia opisany w załącznikach </w:t>
      </w:r>
      <w:r w:rsidR="006F3870" w:rsidRPr="00C05FD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nr 1 i 1a, 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do specyfikacji istotnych warunków zamówienia.</w:t>
      </w:r>
      <w:bookmarkEnd w:id="3"/>
      <w:bookmarkEnd w:id="4"/>
      <w:bookmarkEnd w:id="5"/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 Ostateczna cena (składka) za realizację zamówienia uzależniona będzie od okresów ubezpieczenia, o których zamawiający informuje w rozdziale czwartym niniejszej specyfikacji.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9F0175" w:rsidRPr="00C05FDE" w:rsidRDefault="009F0175" w:rsidP="00C26D7C">
      <w:pPr>
        <w:widowControl w:val="0"/>
        <w:tabs>
          <w:tab w:val="left" w:pos="851"/>
        </w:tabs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13.1. Cenę za zamówienie należy obliczyć za pełen </w:t>
      </w:r>
      <w:r w:rsidRPr="00C05FDE">
        <w:rPr>
          <w:rFonts w:ascii="Tahoma" w:eastAsia="Times New Roman" w:hAnsi="Tahoma" w:cs="Tahoma"/>
          <w:b/>
          <w:sz w:val="20"/>
          <w:szCs w:val="20"/>
          <w:lang w:eastAsia="ar-SA"/>
        </w:rPr>
        <w:t>36 miesięczny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 xml:space="preserve"> okres zamówienia i cały przedmiot zamówienia opisany w załącznikach </w:t>
      </w:r>
      <w:r w:rsidRPr="00C05FD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nr 1 i 1a,  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do specyfikacji istotnych warunków zamówienia. Ostateczna cena (składka) za realizację zamówienia uzależniona będ</w:t>
      </w:r>
      <w:r w:rsidR="00605A09" w:rsidRPr="00C05FDE">
        <w:rPr>
          <w:rFonts w:ascii="Tahoma" w:eastAsia="Times New Roman" w:hAnsi="Tahoma" w:cs="Tahoma"/>
          <w:sz w:val="20"/>
          <w:szCs w:val="20"/>
          <w:lang w:eastAsia="ar-SA"/>
        </w:rPr>
        <w:t>zie od okresów ubezpieczenia, o </w:t>
      </w: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których zamawiający informuje w rozdziale czwartym niniejszej specyfikacji.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3) strona  </w:t>
      </w:r>
      <w:r w:rsidR="00592B86" w:rsidRPr="00C05FDE">
        <w:rPr>
          <w:rFonts w:ascii="Tahoma" w:hAnsi="Tahoma" w:cs="Tahoma"/>
          <w:b/>
          <w:sz w:val="20"/>
          <w:szCs w:val="20"/>
          <w:u w:val="single"/>
        </w:rPr>
        <w:t>16</w:t>
      </w: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   SIWZ:</w:t>
      </w: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592B86" w:rsidRPr="00C05FDE" w:rsidRDefault="00592B86" w:rsidP="00C26D7C">
      <w:pPr>
        <w:widowControl w:val="0"/>
        <w:tabs>
          <w:tab w:val="left" w:pos="851"/>
        </w:tabs>
        <w:suppressAutoHyphens/>
        <w:spacing w:line="24" w:lineRule="atLeast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n-US"/>
        </w:rPr>
      </w:pPr>
      <w:bookmarkStart w:id="6" w:name="_Toc456007593"/>
      <w:bookmarkStart w:id="7" w:name="_Toc456007823"/>
      <w:bookmarkStart w:id="8" w:name="_Toc456086905"/>
      <w:bookmarkStart w:id="9" w:name="_Toc466986923"/>
      <w:r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29. Informacja dotycząca liczby części, na którą wykonawca może złożyć ofertę lub maksymalnej liczby części, na które zamówienie może być udzielone temu samemu wykonawcy oraz kryteria i zasady, które będą miały zastosowanie do ustalenia, które części zamówienia zostaną udzielone jednemu wykonawcy, w</w:t>
      </w:r>
      <w:r w:rsidR="00605A09"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 przypadku wyboru jego oferty w </w:t>
      </w:r>
      <w:r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większej, niż maksymalna liczba części</w:t>
      </w:r>
      <w:bookmarkEnd w:id="6"/>
      <w:bookmarkEnd w:id="7"/>
      <w:bookmarkEnd w:id="8"/>
      <w:bookmarkEnd w:id="9"/>
    </w:p>
    <w:p w:rsidR="00592B86" w:rsidRPr="00C05FDE" w:rsidRDefault="00592B86" w:rsidP="00C26D7C">
      <w:pPr>
        <w:widowControl w:val="0"/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Wykonawca może złożyć ofertę na wszystkie albo wybrane części zamówienia; zamawiający nie ogranicza liczby części zamówienia, na które zamówienie może zostać udzielone temu samemu wykonawcy w przypadku wyboru jego oferty. Przy czym ten sam wykonawca na jedną część zamówienia może złożyć tylko jedną ofertę, pod rygorem odrzucenia oferty. Zamawiający nie przewiduje dzielenia ustalonych w niniejszej specyfikacji części w trakcie procedury przetargowej, ani wydzielania z pakietów poszczególnych pozycji.</w:t>
      </w:r>
    </w:p>
    <w:p w:rsidR="009F0175" w:rsidRPr="00C05FDE" w:rsidRDefault="009F017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lastRenderedPageBreak/>
        <w:t>po zmianie :</w:t>
      </w:r>
    </w:p>
    <w:p w:rsidR="00592B86" w:rsidRPr="00C05FDE" w:rsidRDefault="00592B86" w:rsidP="00C26D7C">
      <w:pPr>
        <w:widowControl w:val="0"/>
        <w:tabs>
          <w:tab w:val="left" w:pos="851"/>
        </w:tabs>
        <w:suppressAutoHyphens/>
        <w:spacing w:line="24" w:lineRule="atLeast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29. Informacja dotycząca liczby części, na którą wykonawca może złożyć ofertę lub maksymalnej liczby części, na które zamówienie może być udzielone temu samemu wykonawcy oraz kryteria i zasady, które będą miały zastosowanie do ustalenia, które części zamówienia zostaną udzielone jednemu wykonawcy, w</w:t>
      </w:r>
      <w:r w:rsidR="00605A09"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 przypadku wyboru jego oferty w </w:t>
      </w:r>
      <w:r w:rsidRPr="00C05FDE">
        <w:rPr>
          <w:rFonts w:ascii="Tahoma" w:eastAsia="Times New Roman" w:hAnsi="Tahoma" w:cs="Tahoma"/>
          <w:b/>
          <w:sz w:val="20"/>
          <w:szCs w:val="20"/>
          <w:lang w:eastAsia="en-US"/>
        </w:rPr>
        <w:t>większej, niż maksymalna liczba części.</w:t>
      </w:r>
    </w:p>
    <w:p w:rsidR="00592B86" w:rsidRPr="00C05FDE" w:rsidRDefault="00592B86" w:rsidP="00C26D7C">
      <w:pPr>
        <w:widowControl w:val="0"/>
        <w:suppressAutoHyphens/>
        <w:spacing w:line="24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5FDE">
        <w:rPr>
          <w:rFonts w:ascii="Tahoma" w:eastAsia="Times New Roman" w:hAnsi="Tahoma" w:cs="Tahoma"/>
          <w:sz w:val="20"/>
          <w:szCs w:val="20"/>
          <w:lang w:eastAsia="ar-SA"/>
        </w:rPr>
        <w:t>Ten sam wykonawca na  zamówienie może złożyć tylko jedną ofertę, pod rygorem odrzucenia oferty. Zamawiający nie przewiduje dzielenia ustalonych w niniejszej specyfikacji części w trakcie procedury przetargowej, ani wydzielania z pakietów poszczególnych pozycji.</w:t>
      </w:r>
    </w:p>
    <w:p w:rsidR="00EC143D" w:rsidRPr="00C05FDE" w:rsidRDefault="00EC143D" w:rsidP="00C26D7C">
      <w:pPr>
        <w:spacing w:line="24" w:lineRule="atLeast"/>
        <w:rPr>
          <w:rFonts w:ascii="Tahoma" w:hAnsi="Tahoma" w:cs="Tahoma"/>
          <w:sz w:val="22"/>
          <w:szCs w:val="22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4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</w:t>
      </w:r>
      <w:r w:rsidR="00CF5E6E" w:rsidRPr="00C05FDE">
        <w:rPr>
          <w:rFonts w:ascii="Tahoma" w:hAnsi="Tahoma" w:cs="Tahoma"/>
          <w:b/>
          <w:sz w:val="20"/>
          <w:szCs w:val="20"/>
          <w:u w:val="single"/>
        </w:rPr>
        <w:t>41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 SIWZ: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C26D7C" w:rsidRPr="00C05FDE" w:rsidRDefault="00C26D7C" w:rsidP="00C26D7C">
      <w:pPr>
        <w:widowControl w:val="0"/>
        <w:tabs>
          <w:tab w:val="left" w:pos="720"/>
        </w:tabs>
        <w:spacing w:line="24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5.49. Niezależnie od postanowień zawartych w punkcie poprzedzającym, bez względu na stopień przyczynienia się do powstania szkody oraz na wiedzę ubezpieczającego i ubezpieczonego, odpowiedzialność ubezpieczyciela do limitu w wysokości 50 000,00 zł na jedno i wszystkie zdarzenia w każdym okresie ubezpieczenia obejmuje szkody, w tym zalania, spowodowane złym stanem technicznym dachu, okien, nieszczelnością rynien, szczelinami w złączach płyt, przeciekami w połączeniach, nieprawidłowymi spawami, przez niezabezpieczone otwory dachowe lub inne elementy budynku. Wskazany wyżej limit odpowiedzialności jest wspólny z ubezpieczeniem sprzętu elektronicznego od wszystkich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ryzyk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C26D7C" w:rsidRPr="00C05FDE" w:rsidRDefault="00C26D7C" w:rsidP="00C26D7C">
      <w:pPr>
        <w:spacing w:line="24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C26D7C" w:rsidRPr="00C05FDE" w:rsidRDefault="00C26D7C" w:rsidP="00C26D7C">
      <w:pPr>
        <w:widowControl w:val="0"/>
        <w:tabs>
          <w:tab w:val="left" w:pos="720"/>
        </w:tabs>
        <w:spacing w:line="24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5.49. Niezależnie od postanowień zawartych w punkcie poprzedzającym, bez względu na stopień przyczynienia się do powstania szkody oraz na wiedzę ubezpieczającego i ubezpieczonego, odpowiedzialność ubezpieczyciela do limitu w wysokości 20 000,00 zł na jedno i wszystkie zdarzenia w każdym okresie ubezpieczenia obejmuje szkody, w tym zalania, spowodowane złym stanem technicznym dachu, okien, nieszczelnością rynien, szczelinami w złączach płyt, przeciekami w połączeniach, nieprawidłowymi spawami, przez niezabezpieczone otwory dachowe lub inne elementy budynku. Wskazany wyżej limit odpowiedzialności jest wspólny z ubezpieczeniem sprzętu elektronicznego od wszystkich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ryzyk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3E3A6E" w:rsidRPr="00C05FDE" w:rsidRDefault="003E3A6E" w:rsidP="00C26D7C">
      <w:pPr>
        <w:spacing w:line="24" w:lineRule="atLeast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5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 </w:t>
      </w:r>
      <w:r w:rsidR="00CF5E6E" w:rsidRPr="00C05FDE">
        <w:rPr>
          <w:rFonts w:ascii="Tahoma" w:hAnsi="Tahoma" w:cs="Tahoma"/>
          <w:b/>
          <w:sz w:val="20"/>
          <w:szCs w:val="20"/>
          <w:u w:val="single"/>
        </w:rPr>
        <w:t>41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 SIWZ: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C26D7C" w:rsidRPr="00C05FDE" w:rsidRDefault="00C26D7C" w:rsidP="00C26D7C">
      <w:pPr>
        <w:widowControl w:val="0"/>
        <w:tabs>
          <w:tab w:val="left" w:pos="720"/>
        </w:tabs>
        <w:spacing w:line="24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5.57. Zakres ubezpieczenia sprzętu elektronicznego deklarowanego do ubezpieczenia mienia od wszystkich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ryzyk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obejmuje także szkody powstałe wskutek działania człowieka (do limitu w wysokości 30 000,00 zł na jedno i wszystkie zdarzenia w każdym okresie ubezpieczenia), tj. nieostrożności, zaniedbania, niewłaściwego użytkowania, braku kwalifikacji, błędu operatora oraz błędów konstrukcyjnych, wadliwych materiałów, wad produkcyjnych, indukcji. Dla szkód wynikających z upuszczenia sprzętu elektronicznego przenośnego ustalona zostaje franszyza redukcyjna w wysokości 200,00 zł.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C26D7C" w:rsidRPr="00C05FDE" w:rsidRDefault="00C26D7C" w:rsidP="00C26D7C">
      <w:pPr>
        <w:widowControl w:val="0"/>
        <w:tabs>
          <w:tab w:val="left" w:pos="720"/>
        </w:tabs>
        <w:spacing w:line="24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5.57. Zakres ubezpieczenia sprzętu elektronicznego deklarowanego do ubezpieczenia mienia od wszystkich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ryzyk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obejmuje także szkody powstałe wskutek działania człowieka (do limitu w wysokości 15 000,00 zł na jedno i wszystkie zdarzenia w każdym okresie ubezpieczenia), tj. nieostrożności, zaniedbania, niewłaściwego użytkowania, braku kwalifikacji, błędu operatora oraz błędów konstrukcyjnych, wadliwych materiałów, wad produkcyjnych, indukcji. Dla szkód wynikających z upuszczenia sprzętu elektronicznego przenośnego ustalona zostaje franszyza redukcyjna w wysokości 200,00 zł.</w:t>
      </w:r>
    </w:p>
    <w:p w:rsidR="00CF5E6E" w:rsidRPr="00C05FDE" w:rsidRDefault="00CF5E6E" w:rsidP="00C26D7C">
      <w:pPr>
        <w:spacing w:line="24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6) strona  50  SIWZ:</w:t>
      </w:r>
    </w:p>
    <w:p w:rsidR="00C26D7C" w:rsidRPr="00C05FDE" w:rsidRDefault="00C26D7C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bCs/>
          <w:sz w:val="20"/>
          <w:szCs w:val="20"/>
        </w:rPr>
        <w:t xml:space="preserve">wykreśla się   </w:t>
      </w:r>
      <w:r w:rsidRPr="00C05FDE">
        <w:rPr>
          <w:rFonts w:ascii="Tahoma" w:hAnsi="Tahoma" w:cs="Tahoma"/>
          <w:b/>
          <w:sz w:val="20"/>
          <w:szCs w:val="20"/>
        </w:rPr>
        <w:t>pkt 4.9 w  część III OC</w:t>
      </w:r>
      <w:r w:rsidRPr="00C05FDE">
        <w:rPr>
          <w:rFonts w:ascii="Tahoma" w:hAnsi="Tahoma" w:cs="Tahoma"/>
          <w:sz w:val="20"/>
          <w:szCs w:val="20"/>
        </w:rPr>
        <w:t xml:space="preserve">  : </w:t>
      </w:r>
    </w:p>
    <w:p w:rsidR="00C26D7C" w:rsidRPr="00C05FDE" w:rsidRDefault="00C26D7C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"4.9. odpowiedzialność cywilną kontraktową i deliktową z tytułu zawieranych umów na dostawę wody o odpowiednich parametrach i ciśnieniu i odbiór ścieków, zgodnie z ustawą z dnia 7 czerwca 2001 r. o zbiorowym zaopatrzeniu w wodę i zbiorowym odprowadzaniu ścieków wraz z rozporządzeniami wykonawczymi oraz w sprawie warunków, jakim powinna odpowiadać woda zdatna do picia i na potrzeby gospodarcze, bez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podlimitu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>, do wysokości sumy gwarancyjnej na jeden i wszystkie wypadki ubezpieczeniowe"</w:t>
      </w:r>
    </w:p>
    <w:p w:rsidR="00CF5E6E" w:rsidRPr="00C05FDE" w:rsidRDefault="00CF5E6E" w:rsidP="00C26D7C">
      <w:pPr>
        <w:spacing w:line="24" w:lineRule="atLeast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lastRenderedPageBreak/>
        <w:t>7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 </w:t>
      </w:r>
      <w:r w:rsidR="001C1AB2" w:rsidRPr="00C05FDE">
        <w:rPr>
          <w:rFonts w:ascii="Tahoma" w:hAnsi="Tahoma" w:cs="Tahoma"/>
          <w:b/>
          <w:sz w:val="20"/>
          <w:szCs w:val="20"/>
          <w:u w:val="single"/>
        </w:rPr>
        <w:t>51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SIWZ:</w:t>
      </w:r>
    </w:p>
    <w:p w:rsidR="001C1AB2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1C1AB2" w:rsidRPr="00C05FDE" w:rsidRDefault="001C1AB2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>4.17. odpowiedzialność cywilną za szkody w pojazdach pozostawionyc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h na nieodpłatnych parkingach i 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>miejscach parkingowych (postojowych) prowa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dzonych przez ubezpieczającego,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z włączeniem szkód wynikających z awarii systemu wjazdu na teren parkingu lub inny będący w posiadaniu ubezpieczonego, 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300 000,00 zł na jeden i wszystkie wypadki ubezpieczeniowe,</w:t>
      </w: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1C1AB2" w:rsidRPr="00C05FDE" w:rsidRDefault="001C1AB2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>4.17. odpowiedzialność cywilną za szkody w pojazdach pozostawionyc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h na nieodpłatnych parkingach i 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miejscach parkingowych (postojowych) prowadzonych przez ubezpieczającego, z włączeniem szkód wynikających z awarii systemu wjazdu na teren parkingu lub inny będący w posiadaniu ubezpieczonego, 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200 000,00 zł na jeden i wszystkie wypadki ubezpieczeniowe,</w:t>
      </w:r>
    </w:p>
    <w:p w:rsidR="003E3A6E" w:rsidRPr="00C05FDE" w:rsidRDefault="003E3A6E" w:rsidP="00C26D7C">
      <w:pPr>
        <w:spacing w:line="24" w:lineRule="atLeast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8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 </w:t>
      </w:r>
      <w:r w:rsidR="00C523A1" w:rsidRPr="00C05FDE">
        <w:rPr>
          <w:rFonts w:ascii="Tahoma" w:hAnsi="Tahoma" w:cs="Tahoma"/>
          <w:b/>
          <w:sz w:val="20"/>
          <w:szCs w:val="20"/>
          <w:u w:val="single"/>
        </w:rPr>
        <w:t>51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SIWZ:</w:t>
      </w:r>
    </w:p>
    <w:p w:rsidR="00C523A1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C523A1" w:rsidRPr="00C05FDE" w:rsidRDefault="00C523A1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4.18.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odpowiedzialność cywilną za szkody wyrządzone wskutek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zalań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przez nieszczelny dach, w tym z kominów, obróbek blacharskich, z elewacji – poprzez rury spustowe czy opoczniki balkonów, nieszczelną stolarkę okienną i drzwiową oraz nieszczelne złącza zewnętrzne budynków, a także o szkody wyrządzone wskutek zmiany poziomu napięcia roboczego ponad dopuszczalne granice napięcia nominalnego wskutek niewłaściwej konserwacji instalacji elektrycznej, należącej do administrowanego budynku, z 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300 000,00 zł na wszystkie wypadki ubezpieczeniowe i 20 000,00 zł na jeden lokal,</w:t>
      </w:r>
    </w:p>
    <w:p w:rsidR="00CF5E6E" w:rsidRPr="00C05FDE" w:rsidRDefault="00CF5E6E" w:rsidP="00C26D7C">
      <w:pPr>
        <w:spacing w:line="24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C523A1" w:rsidRPr="00C05FDE" w:rsidRDefault="00C523A1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4.18.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odpowiedzialność cywilną za szkody wyrządzone wskutek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zalań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przez nieszczelny dach, w tym z kominów, obróbek blacharskich, z elewacji – poprzez rury spustowe czy opoczniki balkonów, nieszczelną stolarkę okienną i drzwiową oraz nieszczelne złącza zewnętrzne budynków, a także o szkody wyrządzone wskutek zmiany poziomu napięcia roboczego ponad dopuszczalne granice napięcia nominalnego wskutek niewłaściwej konserwacji instalacji elektrycznej, należącej do administrowanego budynku, z 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200 000,00 zł na wszystkie wypadki ubezpieczeniowe i 20 000,00 zł na jeden lokal,</w:t>
      </w:r>
    </w:p>
    <w:p w:rsidR="00C523A1" w:rsidRPr="00C05FDE" w:rsidRDefault="00C523A1" w:rsidP="00C26D7C">
      <w:pPr>
        <w:spacing w:line="24" w:lineRule="atLeast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9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 </w:t>
      </w:r>
      <w:r w:rsidR="00C523A1" w:rsidRPr="00C05FDE">
        <w:rPr>
          <w:rFonts w:ascii="Tahoma" w:hAnsi="Tahoma" w:cs="Tahoma"/>
          <w:b/>
          <w:sz w:val="20"/>
          <w:szCs w:val="20"/>
          <w:u w:val="single"/>
        </w:rPr>
        <w:t>52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SIWZ:</w:t>
      </w:r>
    </w:p>
    <w:p w:rsidR="00C523A1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C523A1" w:rsidRPr="00C05FDE" w:rsidRDefault="00C523A1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4.20.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odpowiedzialność cywilną za szkody wynikające z braku dostępu, braku możliwości przejazdu, bez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podlimitu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>, do wysokości sumy gwarancyjnej na jeden i wszystkie wypadki ubezpieczeniowe,</w:t>
      </w:r>
    </w:p>
    <w:p w:rsidR="00CF5E6E" w:rsidRPr="00C05FDE" w:rsidRDefault="00CF5E6E" w:rsidP="00C26D7C">
      <w:pPr>
        <w:spacing w:line="24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F93ECB" w:rsidRPr="00C05FDE" w:rsidRDefault="00F93ECB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4.20.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>odpowiedzialność cywilną za szkody wynikające z braku dostępu, braku moż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liwości przejazdu, z 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500 000,00 zł na jeden i wszystkie wypadki ubezpieczeniowe,</w:t>
      </w:r>
    </w:p>
    <w:p w:rsidR="003E3A6E" w:rsidRPr="00C05FDE" w:rsidRDefault="003E3A6E" w:rsidP="00C26D7C">
      <w:pPr>
        <w:spacing w:line="24" w:lineRule="atLea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3E3A6E" w:rsidRPr="00C05FDE" w:rsidRDefault="009D33E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1</w:t>
      </w:r>
      <w:r w:rsidR="00C26D7C" w:rsidRPr="00C05FDE">
        <w:rPr>
          <w:rFonts w:ascii="Tahoma" w:hAnsi="Tahoma" w:cs="Tahoma"/>
          <w:b/>
          <w:sz w:val="20"/>
          <w:szCs w:val="20"/>
          <w:u w:val="single"/>
        </w:rPr>
        <w:t>0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</w:t>
      </w:r>
      <w:r w:rsidR="00F93ECB" w:rsidRPr="00C05FDE">
        <w:rPr>
          <w:rFonts w:ascii="Tahoma" w:hAnsi="Tahoma" w:cs="Tahoma"/>
          <w:b/>
          <w:sz w:val="20"/>
          <w:szCs w:val="20"/>
          <w:u w:val="single"/>
        </w:rPr>
        <w:t>53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SIWZ:</w:t>
      </w:r>
    </w:p>
    <w:p w:rsidR="00F93ECB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F93ECB" w:rsidRPr="00C05FDE" w:rsidRDefault="00F93ECB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4.32.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odpowiedzialność cywilną za szkody wyrządzone wskutek używania urządzeń dźwigowych (wind), bez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podlimitu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>, do wysokości sumy gwarancyjnej na jeden i wszystkie wypadki ubezpieczeniowe,</w:t>
      </w:r>
    </w:p>
    <w:p w:rsidR="00CF5E6E" w:rsidRPr="00C05FDE" w:rsidRDefault="00CF5E6E" w:rsidP="00C26D7C">
      <w:pPr>
        <w:spacing w:line="24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F93ECB" w:rsidRPr="00C05FDE" w:rsidRDefault="00F93ECB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4.32.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odpowiedzialność cywilną za szkody wyrządzone wskutek używania urządzeń dźwigowych (wind), 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podlimitem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400 000,00 zł na jeden i wszystkie wypadki ubezpieczeniowe,</w:t>
      </w:r>
    </w:p>
    <w:p w:rsidR="00F93ECB" w:rsidRPr="00C05FDE" w:rsidRDefault="00F93ECB" w:rsidP="00C26D7C">
      <w:pPr>
        <w:spacing w:line="24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E3A6E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11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) strona  </w:t>
      </w:r>
      <w:r w:rsidR="009D33E5" w:rsidRPr="00C05FDE">
        <w:rPr>
          <w:rFonts w:ascii="Tahoma" w:hAnsi="Tahoma" w:cs="Tahoma"/>
          <w:b/>
          <w:sz w:val="20"/>
          <w:szCs w:val="20"/>
          <w:u w:val="single"/>
        </w:rPr>
        <w:t>54</w:t>
      </w:r>
      <w:r w:rsidR="003E3A6E" w:rsidRPr="00C05FDE">
        <w:rPr>
          <w:rFonts w:ascii="Tahoma" w:hAnsi="Tahoma" w:cs="Tahoma"/>
          <w:b/>
          <w:sz w:val="20"/>
          <w:szCs w:val="20"/>
          <w:u w:val="single"/>
        </w:rPr>
        <w:t xml:space="preserve">   SIWZ:</w:t>
      </w:r>
    </w:p>
    <w:p w:rsidR="00CF5E6E" w:rsidRPr="00C05FDE" w:rsidRDefault="00CF5E6E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3E3A6E" w:rsidRPr="00C05FDE" w:rsidRDefault="003E3A6E" w:rsidP="00C26D7C">
      <w:pPr>
        <w:widowControl w:val="0"/>
        <w:spacing w:line="24" w:lineRule="atLeast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>4.40. odpowiedzialność cywilną za szkody wyrządzone z tytułu or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ganizacji, współorganizowania i 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przeprowadzania imprez, w tym imprez masowych, np. kulturalnych, sportowo – rekreacyjnych, artystycznych, okolicznościowych i innych, niepodlegających ubezpieczeniu obowiązkowemu organizatora imprez masowych zgodnie z Rozporządzeniem Ministra Finansów, bez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podlimitu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br/>
        <w:t xml:space="preserve">do wysokości sumy gwarancyjnej na jeden i wszystkie wypadki ubezpieczeniowe (zakres ubezpieczenia obejmuje szkody spowodowane wykorzystaniem materiałów pirotechnicznych, pokazem sztucznych ogni, fajerwerków itp. do limitu rocznego w wysokości 500 000,00 zł na jeden i wszystkie wypadki ubezpieczeniowe), z włączeniem do ochrony szkód spowodowanych przez uczestników, pracowników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lastRenderedPageBreak/>
        <w:t>ubezpieczającego i członków ich rodzin, wykonawców, zawodników, trenerów, instruktorów, sędziów, służby techniczne, administracyjne i ochrony (z zachowaniem prawa do regresu w przypadku szkód wyrządzonych z winy umyślnej) oraz szkód wyrządzonych tym wymienionym osobom i służbom),</w:t>
      </w:r>
    </w:p>
    <w:p w:rsidR="00605A09" w:rsidRPr="00C05FDE" w:rsidRDefault="00605A09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9D33E5" w:rsidRPr="00C05FDE" w:rsidRDefault="009D33E5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3E3A6E" w:rsidRPr="00C05FDE" w:rsidRDefault="003E3A6E" w:rsidP="00C26D7C">
      <w:pPr>
        <w:widowControl w:val="0"/>
        <w:spacing w:line="24" w:lineRule="atLeast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>4.40. odpowiedzialność cywilną za szkody wyrządzone z tytułu or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ganizacji, współorganizowania i 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przeprowadzania imprez, w tym imprez masowych, np. kulturalnych, sportowo – rekreacyjnych, artystycznych, okolicznościowych i innych, niepodlegających ubezpieczeniu obowiązkowemu organizatora imprez masowych zgodnie z Rozporządzeniem Ministra Finansów, bez </w:t>
      </w:r>
      <w:proofErr w:type="spellStart"/>
      <w:r w:rsidRPr="00C05FDE">
        <w:rPr>
          <w:rFonts w:ascii="Tahoma" w:eastAsia="Calibri" w:hAnsi="Tahoma" w:cs="Tahoma"/>
          <w:sz w:val="20"/>
          <w:szCs w:val="20"/>
          <w:lang w:eastAsia="en-US"/>
        </w:rPr>
        <w:t>podlimitu</w:t>
      </w:r>
      <w:proofErr w:type="spellEnd"/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br/>
        <w:t xml:space="preserve">do wysokości sumy gwarancyjnej na jeden i wszystkie wypadki ubezpieczeniowe (zakres ubezpieczenia obejmuje szkody spowodowane wykorzystaniem materiałów pirotechnicznych, pokazem sztucznych ogni, fajerwerków itp. </w:t>
      </w:r>
      <w:r w:rsidRPr="00C05FDE">
        <w:rPr>
          <w:rFonts w:ascii="Tahoma" w:hAnsi="Tahoma" w:cs="Tahoma"/>
          <w:sz w:val="20"/>
          <w:szCs w:val="20"/>
        </w:rPr>
        <w:t>organizowanych przez profesjonalne podmioty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 xml:space="preserve"> do limitu rocznego w wysokości 50 000,00 zł na jeden i wszystkie wypadki ubezpieczeniowe), z włączeniem do ochrony szkód spowodowanych przez uczestników, pracowników ubezpieczającego i członków ich rodzin, wykonawców, zawodników, trenerów, instruktorów, sędziów, służb</w:t>
      </w:r>
      <w:r w:rsidR="00605A09" w:rsidRPr="00C05FDE">
        <w:rPr>
          <w:rFonts w:ascii="Tahoma" w:eastAsia="Calibri" w:hAnsi="Tahoma" w:cs="Tahoma"/>
          <w:sz w:val="20"/>
          <w:szCs w:val="20"/>
          <w:lang w:eastAsia="en-US"/>
        </w:rPr>
        <w:t>y techniczne, administracyjne i </w:t>
      </w:r>
      <w:r w:rsidRPr="00C05FDE">
        <w:rPr>
          <w:rFonts w:ascii="Tahoma" w:eastAsia="Calibri" w:hAnsi="Tahoma" w:cs="Tahoma"/>
          <w:sz w:val="20"/>
          <w:szCs w:val="20"/>
          <w:lang w:eastAsia="en-US"/>
        </w:rPr>
        <w:t>ochrony (z zachowaniem prawa do regresu w przypadku szkód wyrządzonych z winy umyślnej) oraz szkód wyrządzonych tym wymienionym osobom i służbom),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>12) strona   57  SIWZ: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 xml:space="preserve">wykreśla się  zapis </w:t>
      </w:r>
      <w:r w:rsidRPr="00C05FDE">
        <w:rPr>
          <w:rFonts w:ascii="Tahoma" w:hAnsi="Tahoma" w:cs="Tahoma"/>
          <w:sz w:val="20"/>
          <w:szCs w:val="20"/>
        </w:rPr>
        <w:t xml:space="preserve"> </w:t>
      </w:r>
      <w:r w:rsidRPr="00C05FDE">
        <w:rPr>
          <w:rFonts w:ascii="Tahoma" w:hAnsi="Tahoma" w:cs="Tahoma"/>
          <w:b/>
          <w:sz w:val="20"/>
          <w:szCs w:val="20"/>
        </w:rPr>
        <w:t>pkt 10 obligatoryjnych zasad likwidacji:</w:t>
      </w:r>
    </w:p>
    <w:p w:rsidR="00C26D7C" w:rsidRPr="00C05FDE" w:rsidRDefault="00C26D7C" w:rsidP="00C26D7C">
      <w:pPr>
        <w:widowControl w:val="0"/>
        <w:tabs>
          <w:tab w:val="left" w:pos="360"/>
        </w:tabs>
        <w:spacing w:line="24" w:lineRule="atLeast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05FDE">
        <w:rPr>
          <w:rFonts w:ascii="Tahoma" w:eastAsia="Calibri" w:hAnsi="Tahoma" w:cs="Tahoma"/>
          <w:sz w:val="20"/>
          <w:szCs w:val="20"/>
          <w:lang w:eastAsia="en-US"/>
        </w:rPr>
        <w:t>10. W razie konieczności uzupełnienia niezbędnych dokumentów i informacji Wykonawca może tylko dwukrotnie zwrócić się do Zamawiającego bądź innych osób zainteresowanych (ubezpieczający, ubezpieczony).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13) strona  64  SIWZ  </w:t>
      </w:r>
      <w:r w:rsidRPr="00C05FDE">
        <w:rPr>
          <w:rFonts w:ascii="Tahoma" w:hAnsi="Tahoma" w:cs="Tahoma"/>
          <w:sz w:val="20"/>
          <w:szCs w:val="20"/>
          <w:u w:val="single"/>
        </w:rPr>
        <w:t>Formularz Oferta</w:t>
      </w: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 :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wykreśla się  zapis:</w:t>
      </w:r>
    </w:p>
    <w:p w:rsidR="00C26D7C" w:rsidRPr="00C05FDE" w:rsidRDefault="00C26D7C" w:rsidP="00C26D7C">
      <w:pPr>
        <w:widowControl w:val="0"/>
        <w:spacing w:line="24" w:lineRule="atLeast"/>
        <w:rPr>
          <w:rFonts w:ascii="Tahoma" w:eastAsia="Times New Roman" w:hAnsi="Tahoma" w:cs="Tahoma"/>
          <w:i/>
          <w:sz w:val="22"/>
          <w:szCs w:val="22"/>
          <w:lang w:eastAsia="en-US"/>
        </w:rPr>
      </w:pPr>
      <w:r w:rsidRPr="00C05FDE">
        <w:rPr>
          <w:rFonts w:ascii="Tahoma" w:eastAsia="Times New Roman" w:hAnsi="Tahoma" w:cs="Tahoma"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C05FDE">
        <w:rPr>
          <w:rFonts w:ascii="Tahoma" w:eastAsia="Times New Roman" w:hAnsi="Tahoma" w:cs="Tahoma"/>
          <w:i/>
          <w:sz w:val="22"/>
          <w:szCs w:val="22"/>
          <w:u w:val="single"/>
          <w:lang w:eastAsia="en-US"/>
        </w:rPr>
        <w:t>postawić kreskę</w:t>
      </w:r>
      <w:r w:rsidRPr="00C05FDE">
        <w:rPr>
          <w:rFonts w:ascii="Tahoma" w:eastAsia="Times New Roman" w:hAnsi="Tahoma" w:cs="Tahoma"/>
          <w:i/>
          <w:sz w:val="22"/>
          <w:szCs w:val="22"/>
          <w:lang w:eastAsia="en-US"/>
        </w:rPr>
        <w:t xml:space="preserve"> lub wprowadzić zapis: </w:t>
      </w:r>
      <w:r w:rsidRPr="00C05FDE">
        <w:rPr>
          <w:rFonts w:ascii="Tahoma" w:eastAsia="Times New Roman" w:hAnsi="Tahoma" w:cs="Tahoma"/>
          <w:i/>
          <w:sz w:val="22"/>
          <w:szCs w:val="22"/>
          <w:u w:val="single"/>
          <w:lang w:eastAsia="en-US"/>
        </w:rPr>
        <w:t>Nie dotyczy</w:t>
      </w:r>
      <w:r w:rsidRPr="00C05FDE">
        <w:rPr>
          <w:rFonts w:ascii="Tahoma" w:eastAsia="Times New Roman" w:hAnsi="Tahoma" w:cs="Tahoma"/>
          <w:i/>
          <w:sz w:val="22"/>
          <w:szCs w:val="22"/>
          <w:lang w:eastAsia="en-US"/>
        </w:rPr>
        <w:t>.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sz w:val="20"/>
          <w:szCs w:val="20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05FDE">
        <w:rPr>
          <w:rFonts w:ascii="Tahoma" w:hAnsi="Tahoma" w:cs="Tahoma"/>
          <w:b/>
          <w:sz w:val="20"/>
          <w:szCs w:val="20"/>
          <w:u w:val="single"/>
        </w:rPr>
        <w:t xml:space="preserve">14) strona  112  SIWZ   </w:t>
      </w:r>
      <w:r w:rsidRPr="00C05FDE">
        <w:rPr>
          <w:rFonts w:ascii="Tahoma" w:hAnsi="Tahoma" w:cs="Tahoma"/>
          <w:sz w:val="20"/>
          <w:szCs w:val="20"/>
          <w:u w:val="single"/>
        </w:rPr>
        <w:t>Załącznik nr 11 do SIWZ</w:t>
      </w:r>
      <w:r w:rsidRPr="00C05FDE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przed zmianą :</w:t>
      </w:r>
    </w:p>
    <w:p w:rsidR="006F3870" w:rsidRPr="00C05FDE" w:rsidRDefault="006F3870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C26D7C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both"/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C05FDE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który złożył odrębną ofertę na tę samą część zamówienia: </w:t>
      </w:r>
    </w:p>
    <w:p w:rsidR="00C26D7C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center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C05FDE">
        <w:rPr>
          <w:rFonts w:ascii="Tahoma" w:eastAsia="Times New Roman" w:hAnsi="Tahoma" w:cs="Tahom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 *</w:t>
      </w:r>
    </w:p>
    <w:p w:rsidR="00C26D7C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center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C05FDE">
        <w:rPr>
          <w:rFonts w:ascii="Tahoma" w:eastAsia="Times New Roman" w:hAnsi="Tahoma" w:cs="Tahoma"/>
          <w:i/>
          <w:color w:val="000000"/>
          <w:sz w:val="18"/>
          <w:szCs w:val="18"/>
        </w:rPr>
        <w:t>(proszę wpisać nazwę tej części zamówienia)</w:t>
      </w: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</w:p>
    <w:p w:rsidR="00C26D7C" w:rsidRPr="00C05FDE" w:rsidRDefault="00C26D7C" w:rsidP="00C26D7C">
      <w:pPr>
        <w:spacing w:line="24" w:lineRule="atLeast"/>
        <w:contextualSpacing/>
        <w:rPr>
          <w:rFonts w:ascii="Tahoma" w:hAnsi="Tahoma" w:cs="Tahoma"/>
          <w:b/>
          <w:sz w:val="20"/>
          <w:szCs w:val="20"/>
        </w:rPr>
      </w:pPr>
      <w:r w:rsidRPr="00C05FDE">
        <w:rPr>
          <w:rFonts w:ascii="Tahoma" w:hAnsi="Tahoma" w:cs="Tahoma"/>
          <w:b/>
          <w:sz w:val="20"/>
          <w:szCs w:val="20"/>
        </w:rPr>
        <w:t>po zmianie :</w:t>
      </w:r>
    </w:p>
    <w:p w:rsidR="00C26D7C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both"/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C05FDE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który złożył odrębną ofertę na to samo zamówienie: </w:t>
      </w:r>
    </w:p>
    <w:p w:rsidR="00C26D7C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center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C05FDE">
        <w:rPr>
          <w:rFonts w:ascii="Tahoma" w:eastAsia="Times New Roman" w:hAnsi="Tahoma" w:cs="Tahoma"/>
          <w:i/>
          <w:color w:val="000000"/>
          <w:sz w:val="18"/>
          <w:szCs w:val="18"/>
        </w:rPr>
        <w:t>……………………………………………………………………………………………………………..…………………………………………… *</w:t>
      </w:r>
    </w:p>
    <w:p w:rsidR="003E3A6E" w:rsidRPr="00C05FDE" w:rsidRDefault="00C26D7C" w:rsidP="00C26D7C">
      <w:pPr>
        <w:widowControl w:val="0"/>
        <w:tabs>
          <w:tab w:val="left" w:pos="284"/>
        </w:tabs>
        <w:spacing w:line="24" w:lineRule="atLeast"/>
        <w:ind w:left="284"/>
        <w:jc w:val="center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C05FDE">
        <w:rPr>
          <w:rFonts w:ascii="Tahoma" w:eastAsia="Times New Roman" w:hAnsi="Tahoma" w:cs="Tahoma"/>
          <w:i/>
          <w:color w:val="000000"/>
          <w:sz w:val="18"/>
          <w:szCs w:val="18"/>
        </w:rPr>
        <w:t>(proszę wpisać nazwę  zamówienia)</w:t>
      </w:r>
    </w:p>
    <w:p w:rsidR="000D038B" w:rsidRPr="00C05FDE" w:rsidRDefault="000D038B" w:rsidP="00C26D7C">
      <w:pPr>
        <w:spacing w:line="24" w:lineRule="atLeast"/>
        <w:ind w:hanging="426"/>
        <w:jc w:val="both"/>
        <w:rPr>
          <w:rFonts w:ascii="Tahoma" w:hAnsi="Tahoma" w:cs="Tahoma"/>
          <w:b/>
          <w:sz w:val="18"/>
          <w:szCs w:val="18"/>
        </w:rPr>
      </w:pPr>
      <w:r w:rsidRPr="00C05FDE">
        <w:rPr>
          <w:rFonts w:ascii="Tahoma" w:hAnsi="Tahoma" w:cs="Tahoma"/>
          <w:b/>
          <w:sz w:val="18"/>
          <w:szCs w:val="18"/>
        </w:rPr>
        <w:t xml:space="preserve">      </w:t>
      </w:r>
    </w:p>
    <w:p w:rsidR="006F3870" w:rsidRPr="00C05FDE" w:rsidRDefault="006F3870" w:rsidP="00C26D7C">
      <w:pPr>
        <w:spacing w:line="24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D038B" w:rsidRPr="00C05FDE" w:rsidRDefault="00605A09" w:rsidP="00C26D7C">
      <w:pPr>
        <w:spacing w:line="24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05FDE">
        <w:rPr>
          <w:rFonts w:ascii="Tahoma" w:eastAsia="Times New Roman" w:hAnsi="Tahoma" w:cs="Tahoma"/>
          <w:b/>
          <w:sz w:val="20"/>
          <w:szCs w:val="20"/>
        </w:rPr>
        <w:t>Zamawiający informuje, że</w:t>
      </w:r>
      <w:r w:rsidR="000D038B" w:rsidRPr="00C05FDE">
        <w:rPr>
          <w:rFonts w:ascii="Tahoma" w:eastAsia="Times New Roman" w:hAnsi="Tahoma" w:cs="Tahoma"/>
          <w:b/>
          <w:sz w:val="20"/>
          <w:szCs w:val="20"/>
        </w:rPr>
        <w:t xml:space="preserve"> wyjaśnienia i  zmiany </w:t>
      </w:r>
      <w:r w:rsidR="00AB2AD4" w:rsidRPr="00C05FDE">
        <w:rPr>
          <w:rFonts w:ascii="Tahoma" w:eastAsia="Times New Roman" w:hAnsi="Tahoma" w:cs="Tahoma"/>
          <w:b/>
          <w:sz w:val="20"/>
          <w:szCs w:val="20"/>
        </w:rPr>
        <w:t>d</w:t>
      </w:r>
      <w:r w:rsidR="000D038B" w:rsidRPr="00C05FDE">
        <w:rPr>
          <w:rFonts w:ascii="Tahoma" w:eastAsia="Times New Roman" w:hAnsi="Tahoma" w:cs="Tahoma"/>
          <w:b/>
          <w:sz w:val="20"/>
          <w:szCs w:val="20"/>
        </w:rPr>
        <w:t>o treści SIWZ stają się integralną częścią SIWZ</w:t>
      </w:r>
      <w:r w:rsidR="00356DB6" w:rsidRPr="00C05FDE">
        <w:rPr>
          <w:rFonts w:ascii="Tahoma" w:eastAsia="Times New Roman" w:hAnsi="Tahoma" w:cs="Tahoma"/>
          <w:b/>
          <w:sz w:val="20"/>
          <w:szCs w:val="20"/>
        </w:rPr>
        <w:t>,</w:t>
      </w:r>
      <w:r w:rsidR="000D038B" w:rsidRPr="00C05FDE">
        <w:rPr>
          <w:rFonts w:ascii="Tahoma" w:eastAsia="Times New Roman" w:hAnsi="Tahoma" w:cs="Tahoma"/>
          <w:b/>
          <w:sz w:val="20"/>
          <w:szCs w:val="20"/>
        </w:rPr>
        <w:t xml:space="preserve">  będą wiążące przy składaniu ofert.</w:t>
      </w:r>
    </w:p>
    <w:p w:rsidR="00C26D7C" w:rsidRPr="00C05FDE" w:rsidRDefault="00C26D7C" w:rsidP="00C26D7C">
      <w:pPr>
        <w:spacing w:line="24" w:lineRule="atLeast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6F3870" w:rsidRPr="00C05FDE" w:rsidRDefault="006F3870" w:rsidP="006F3870">
      <w:pPr>
        <w:spacing w:line="24" w:lineRule="atLeast"/>
        <w:jc w:val="center"/>
        <w:rPr>
          <w:rFonts w:ascii="Tahoma" w:eastAsia="Times New Roman" w:hAnsi="Tahoma" w:cs="Tahoma"/>
          <w:b/>
          <w:sz w:val="22"/>
          <w:szCs w:val="20"/>
        </w:rPr>
      </w:pPr>
    </w:p>
    <w:p w:rsidR="000D038B" w:rsidRDefault="000D038B" w:rsidP="006F3870">
      <w:pPr>
        <w:spacing w:line="24" w:lineRule="atLeast"/>
        <w:jc w:val="center"/>
        <w:rPr>
          <w:rFonts w:ascii="Tahoma" w:eastAsia="Times New Roman" w:hAnsi="Tahoma" w:cs="Tahoma"/>
          <w:b/>
          <w:sz w:val="22"/>
          <w:szCs w:val="20"/>
        </w:rPr>
      </w:pPr>
      <w:r w:rsidRPr="00C05FDE">
        <w:rPr>
          <w:rFonts w:ascii="Tahoma" w:eastAsia="Times New Roman" w:hAnsi="Tahoma" w:cs="Tahoma"/>
          <w:b/>
          <w:sz w:val="22"/>
          <w:szCs w:val="20"/>
        </w:rPr>
        <w:t xml:space="preserve">W związku z niniejszymi wyjaśnieniami do SIWZ </w:t>
      </w:r>
      <w:r w:rsidR="00EC143D" w:rsidRPr="00C05FDE">
        <w:rPr>
          <w:rFonts w:ascii="Tahoma" w:eastAsia="Times New Roman" w:hAnsi="Tahoma" w:cs="Tahoma"/>
          <w:b/>
          <w:sz w:val="22"/>
          <w:szCs w:val="20"/>
        </w:rPr>
        <w:t xml:space="preserve">przewiduje </w:t>
      </w:r>
      <w:r w:rsidR="006F3870" w:rsidRPr="00C05FDE">
        <w:rPr>
          <w:rFonts w:ascii="Tahoma" w:eastAsia="Times New Roman" w:hAnsi="Tahoma" w:cs="Tahoma"/>
          <w:b/>
          <w:sz w:val="22"/>
          <w:szCs w:val="20"/>
        </w:rPr>
        <w:t>się</w:t>
      </w:r>
      <w:r w:rsidR="00EC143D" w:rsidRPr="00C05FDE">
        <w:rPr>
          <w:rFonts w:ascii="Tahoma" w:eastAsia="Times New Roman" w:hAnsi="Tahoma" w:cs="Tahoma"/>
          <w:b/>
          <w:sz w:val="22"/>
          <w:szCs w:val="20"/>
        </w:rPr>
        <w:t xml:space="preserve"> </w:t>
      </w:r>
      <w:r w:rsidR="00D95C6D" w:rsidRPr="00C05FDE">
        <w:rPr>
          <w:rFonts w:ascii="Tahoma" w:eastAsia="Times New Roman" w:hAnsi="Tahoma" w:cs="Tahoma"/>
          <w:b/>
          <w:sz w:val="22"/>
          <w:szCs w:val="20"/>
        </w:rPr>
        <w:t>przesunięcie</w:t>
      </w:r>
      <w:r w:rsidRPr="00C05FDE">
        <w:rPr>
          <w:rFonts w:ascii="Tahoma" w:eastAsia="Times New Roman" w:hAnsi="Tahoma" w:cs="Tahoma"/>
          <w:b/>
          <w:sz w:val="22"/>
          <w:szCs w:val="20"/>
        </w:rPr>
        <w:t xml:space="preserve"> terminu</w:t>
      </w:r>
      <w:r w:rsidR="00EC143D" w:rsidRPr="00C05FDE">
        <w:rPr>
          <w:rFonts w:ascii="Tahoma" w:eastAsia="Times New Roman" w:hAnsi="Tahoma" w:cs="Tahoma"/>
          <w:b/>
          <w:sz w:val="22"/>
          <w:szCs w:val="20"/>
        </w:rPr>
        <w:t xml:space="preserve"> składania ofert  na dzień</w:t>
      </w:r>
      <w:r w:rsidR="00D95C6D" w:rsidRPr="00C05FDE">
        <w:rPr>
          <w:rFonts w:ascii="Tahoma" w:eastAsia="Times New Roman" w:hAnsi="Tahoma" w:cs="Tahoma"/>
          <w:b/>
          <w:sz w:val="22"/>
          <w:szCs w:val="20"/>
        </w:rPr>
        <w:t xml:space="preserve"> 28 listopada 2019r. </w:t>
      </w:r>
      <w:r w:rsidR="00356DB6" w:rsidRPr="00C05FDE">
        <w:rPr>
          <w:rFonts w:ascii="Tahoma" w:eastAsia="Times New Roman" w:hAnsi="Tahoma" w:cs="Tahoma"/>
          <w:b/>
          <w:sz w:val="22"/>
          <w:szCs w:val="20"/>
        </w:rPr>
        <w:t xml:space="preserve"> </w:t>
      </w:r>
      <w:r w:rsidR="009D33E5" w:rsidRPr="00C05FDE">
        <w:rPr>
          <w:rFonts w:ascii="Tahoma" w:eastAsia="Times New Roman" w:hAnsi="Tahoma" w:cs="Tahoma"/>
          <w:b/>
          <w:sz w:val="22"/>
          <w:szCs w:val="20"/>
        </w:rPr>
        <w:t xml:space="preserve">godz. </w:t>
      </w:r>
      <w:r w:rsidR="00605A09" w:rsidRPr="00C05FDE">
        <w:rPr>
          <w:rFonts w:ascii="Tahoma" w:eastAsia="Times New Roman" w:hAnsi="Tahoma" w:cs="Tahoma"/>
          <w:b/>
          <w:sz w:val="22"/>
          <w:szCs w:val="20"/>
        </w:rPr>
        <w:t>10:15</w:t>
      </w:r>
      <w:r w:rsidR="009D33E5" w:rsidRPr="00C05FDE">
        <w:rPr>
          <w:rFonts w:ascii="Tahoma" w:eastAsia="Times New Roman" w:hAnsi="Tahoma" w:cs="Tahoma"/>
          <w:b/>
          <w:sz w:val="22"/>
          <w:szCs w:val="20"/>
        </w:rPr>
        <w:t>.</w:t>
      </w:r>
    </w:p>
    <w:p w:rsidR="00991E65" w:rsidRDefault="00991E65" w:rsidP="006F3870">
      <w:pPr>
        <w:spacing w:line="24" w:lineRule="atLeast"/>
        <w:jc w:val="center"/>
        <w:rPr>
          <w:rFonts w:ascii="Tahoma" w:eastAsia="Times New Roman" w:hAnsi="Tahoma" w:cs="Tahoma"/>
          <w:b/>
          <w:sz w:val="22"/>
          <w:szCs w:val="20"/>
        </w:rPr>
      </w:pPr>
    </w:p>
    <w:p w:rsidR="00991E65" w:rsidRDefault="00991E65" w:rsidP="006F3870">
      <w:pPr>
        <w:spacing w:line="24" w:lineRule="atLeast"/>
        <w:jc w:val="center"/>
        <w:rPr>
          <w:rFonts w:ascii="Tahoma" w:eastAsia="Times New Roman" w:hAnsi="Tahoma" w:cs="Tahoma"/>
          <w:b/>
          <w:sz w:val="22"/>
          <w:szCs w:val="20"/>
        </w:rPr>
      </w:pPr>
    </w:p>
    <w:p w:rsidR="00991E65" w:rsidRDefault="00991E65" w:rsidP="00991E65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bookmarkStart w:id="10" w:name="_GoBack"/>
      <w:bookmarkEnd w:id="10"/>
      <w:r>
        <w:rPr>
          <w:rFonts w:ascii="Tahoma" w:eastAsia="Times New Roman" w:hAnsi="Tahoma" w:cs="Tahoma"/>
          <w:b/>
          <w:sz w:val="20"/>
          <w:szCs w:val="20"/>
        </w:rPr>
        <w:t xml:space="preserve">  BURMISTRZ MIASTA</w:t>
      </w:r>
    </w:p>
    <w:p w:rsidR="00991E65" w:rsidRDefault="00991E65" w:rsidP="00991E65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991E65" w:rsidRPr="00090886" w:rsidRDefault="00991E65" w:rsidP="00991E65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  <w:t>/-/ Kazimierz Dąbrowski</w:t>
      </w:r>
    </w:p>
    <w:p w:rsidR="00991E65" w:rsidRPr="00C05FDE" w:rsidRDefault="00991E65" w:rsidP="006F3870">
      <w:pPr>
        <w:spacing w:line="24" w:lineRule="atLeast"/>
        <w:jc w:val="center"/>
        <w:rPr>
          <w:rFonts w:ascii="Tahoma" w:eastAsia="Times New Roman" w:hAnsi="Tahoma" w:cs="Tahoma"/>
          <w:b/>
          <w:sz w:val="22"/>
          <w:szCs w:val="20"/>
        </w:rPr>
      </w:pPr>
    </w:p>
    <w:sectPr w:rsidR="00991E65" w:rsidRPr="00C05FDE" w:rsidSect="006F387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3E" w:rsidRDefault="0013413E" w:rsidP="00A1736C">
      <w:r>
        <w:separator/>
      </w:r>
    </w:p>
  </w:endnote>
  <w:endnote w:type="continuationSeparator" w:id="0">
    <w:p w:rsidR="0013413E" w:rsidRDefault="0013413E" w:rsidP="00A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4765"/>
      <w:docPartObj>
        <w:docPartGallery w:val="Page Numbers (Bottom of Page)"/>
        <w:docPartUnique/>
      </w:docPartObj>
    </w:sdtPr>
    <w:sdtEndPr/>
    <w:sdtContent>
      <w:p w:rsidR="008A694D" w:rsidRDefault="008A69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65">
          <w:rPr>
            <w:noProof/>
          </w:rPr>
          <w:t>3</w:t>
        </w:r>
        <w:r>
          <w:fldChar w:fldCharType="end"/>
        </w:r>
      </w:p>
    </w:sdtContent>
  </w:sdt>
  <w:p w:rsidR="00D3169C" w:rsidRDefault="00D31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3E" w:rsidRDefault="0013413E" w:rsidP="00A1736C">
      <w:r>
        <w:separator/>
      </w:r>
    </w:p>
  </w:footnote>
  <w:footnote w:type="continuationSeparator" w:id="0">
    <w:p w:rsidR="0013413E" w:rsidRDefault="0013413E" w:rsidP="00A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865D2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iCs/>
        <w:color w:val="auto"/>
        <w:sz w:val="24"/>
        <w:szCs w:val="24"/>
        <w:shd w:val="clear" w:color="auto" w:fill="FFFF0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b/>
        <w:i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eastAsia="Calibri" w:hAnsi="Cambria" w:cs="Times New Roman"/>
        <w:b/>
        <w:i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eastAsia="Calibri" w:hAnsi="Cambria" w:cs="Times New Roman"/>
        <w:b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3" w15:restartNumberingAfterBreak="0">
    <w:nsid w:val="05233487"/>
    <w:multiLevelType w:val="hybridMultilevel"/>
    <w:tmpl w:val="C520C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B7F2A"/>
    <w:multiLevelType w:val="hybridMultilevel"/>
    <w:tmpl w:val="90A0CE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DCB"/>
    <w:multiLevelType w:val="multilevel"/>
    <w:tmpl w:val="9ED84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5E2C04"/>
    <w:multiLevelType w:val="hybridMultilevel"/>
    <w:tmpl w:val="7F1CF22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402C8"/>
    <w:multiLevelType w:val="hybridMultilevel"/>
    <w:tmpl w:val="B952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303"/>
    <w:multiLevelType w:val="hybridMultilevel"/>
    <w:tmpl w:val="30AA7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315478"/>
    <w:multiLevelType w:val="hybridMultilevel"/>
    <w:tmpl w:val="B93E0D76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F2266"/>
    <w:multiLevelType w:val="hybridMultilevel"/>
    <w:tmpl w:val="C9822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63D7D"/>
    <w:multiLevelType w:val="multilevel"/>
    <w:tmpl w:val="7BA6292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1"/>
    <w:rsid w:val="00004F41"/>
    <w:rsid w:val="000132A9"/>
    <w:rsid w:val="000155B5"/>
    <w:rsid w:val="0001733B"/>
    <w:rsid w:val="00035180"/>
    <w:rsid w:val="00047E86"/>
    <w:rsid w:val="00053F99"/>
    <w:rsid w:val="0005432D"/>
    <w:rsid w:val="000552AF"/>
    <w:rsid w:val="00056016"/>
    <w:rsid w:val="000629CB"/>
    <w:rsid w:val="00065B61"/>
    <w:rsid w:val="00065CF3"/>
    <w:rsid w:val="000740F2"/>
    <w:rsid w:val="00085468"/>
    <w:rsid w:val="00091F5F"/>
    <w:rsid w:val="00095185"/>
    <w:rsid w:val="00097E1F"/>
    <w:rsid w:val="000B2AE8"/>
    <w:rsid w:val="000D038B"/>
    <w:rsid w:val="000D0D40"/>
    <w:rsid w:val="000D3DD8"/>
    <w:rsid w:val="000E2427"/>
    <w:rsid w:val="000E5D73"/>
    <w:rsid w:val="000E6CDC"/>
    <w:rsid w:val="00100946"/>
    <w:rsid w:val="00104931"/>
    <w:rsid w:val="00111D49"/>
    <w:rsid w:val="0013413E"/>
    <w:rsid w:val="001445FF"/>
    <w:rsid w:val="00145E3E"/>
    <w:rsid w:val="0015030C"/>
    <w:rsid w:val="00150570"/>
    <w:rsid w:val="00162343"/>
    <w:rsid w:val="00163585"/>
    <w:rsid w:val="001848F5"/>
    <w:rsid w:val="00184B41"/>
    <w:rsid w:val="001862D7"/>
    <w:rsid w:val="001951DE"/>
    <w:rsid w:val="001A35A6"/>
    <w:rsid w:val="001B2B68"/>
    <w:rsid w:val="001B3E36"/>
    <w:rsid w:val="001B5C96"/>
    <w:rsid w:val="001B5D51"/>
    <w:rsid w:val="001C17A3"/>
    <w:rsid w:val="001C1AB2"/>
    <w:rsid w:val="001C48A6"/>
    <w:rsid w:val="001C67A9"/>
    <w:rsid w:val="001D4A0D"/>
    <w:rsid w:val="001D76A3"/>
    <w:rsid w:val="001F3EAB"/>
    <w:rsid w:val="00205511"/>
    <w:rsid w:val="00217CB5"/>
    <w:rsid w:val="00217D36"/>
    <w:rsid w:val="002219DE"/>
    <w:rsid w:val="00231A62"/>
    <w:rsid w:val="00233D88"/>
    <w:rsid w:val="00236995"/>
    <w:rsid w:val="002414AA"/>
    <w:rsid w:val="0024421F"/>
    <w:rsid w:val="00244241"/>
    <w:rsid w:val="00244D83"/>
    <w:rsid w:val="00266069"/>
    <w:rsid w:val="0027175C"/>
    <w:rsid w:val="00274AA4"/>
    <w:rsid w:val="00275A21"/>
    <w:rsid w:val="00280C83"/>
    <w:rsid w:val="00291A5F"/>
    <w:rsid w:val="00295DA2"/>
    <w:rsid w:val="002B111F"/>
    <w:rsid w:val="002B332B"/>
    <w:rsid w:val="002C5BBD"/>
    <w:rsid w:val="002D1423"/>
    <w:rsid w:val="002D2659"/>
    <w:rsid w:val="002D47E7"/>
    <w:rsid w:val="002D6ADE"/>
    <w:rsid w:val="002D7088"/>
    <w:rsid w:val="002E7080"/>
    <w:rsid w:val="003140C1"/>
    <w:rsid w:val="003151CE"/>
    <w:rsid w:val="00315234"/>
    <w:rsid w:val="0032112C"/>
    <w:rsid w:val="00322F19"/>
    <w:rsid w:val="003262B6"/>
    <w:rsid w:val="00337356"/>
    <w:rsid w:val="00337783"/>
    <w:rsid w:val="00346EC6"/>
    <w:rsid w:val="003560EF"/>
    <w:rsid w:val="00356DB6"/>
    <w:rsid w:val="003626F9"/>
    <w:rsid w:val="00362730"/>
    <w:rsid w:val="00363ED6"/>
    <w:rsid w:val="00374C60"/>
    <w:rsid w:val="00375F93"/>
    <w:rsid w:val="00385305"/>
    <w:rsid w:val="00392460"/>
    <w:rsid w:val="003963E3"/>
    <w:rsid w:val="003B1020"/>
    <w:rsid w:val="003B19BD"/>
    <w:rsid w:val="003C5628"/>
    <w:rsid w:val="003C5DC7"/>
    <w:rsid w:val="003D0FF9"/>
    <w:rsid w:val="003D50B0"/>
    <w:rsid w:val="003D6CEC"/>
    <w:rsid w:val="003E38AD"/>
    <w:rsid w:val="003E3A6E"/>
    <w:rsid w:val="003E5217"/>
    <w:rsid w:val="003F6431"/>
    <w:rsid w:val="004041BB"/>
    <w:rsid w:val="00410717"/>
    <w:rsid w:val="0041687F"/>
    <w:rsid w:val="00416F8B"/>
    <w:rsid w:val="0041797B"/>
    <w:rsid w:val="0042336E"/>
    <w:rsid w:val="00437D8D"/>
    <w:rsid w:val="00442E71"/>
    <w:rsid w:val="004464F1"/>
    <w:rsid w:val="0045115A"/>
    <w:rsid w:val="00453399"/>
    <w:rsid w:val="00464397"/>
    <w:rsid w:val="004803CA"/>
    <w:rsid w:val="0048606F"/>
    <w:rsid w:val="00490F82"/>
    <w:rsid w:val="0049155D"/>
    <w:rsid w:val="004929F5"/>
    <w:rsid w:val="00496F17"/>
    <w:rsid w:val="004A1702"/>
    <w:rsid w:val="004A296F"/>
    <w:rsid w:val="004C3180"/>
    <w:rsid w:val="004D318E"/>
    <w:rsid w:val="004D4B52"/>
    <w:rsid w:val="004D54B2"/>
    <w:rsid w:val="004D5676"/>
    <w:rsid w:val="004E79FB"/>
    <w:rsid w:val="004F5636"/>
    <w:rsid w:val="00500013"/>
    <w:rsid w:val="00505847"/>
    <w:rsid w:val="0051014C"/>
    <w:rsid w:val="005168BB"/>
    <w:rsid w:val="00516E4A"/>
    <w:rsid w:val="005200B1"/>
    <w:rsid w:val="00522355"/>
    <w:rsid w:val="005240BD"/>
    <w:rsid w:val="00526371"/>
    <w:rsid w:val="00526B09"/>
    <w:rsid w:val="00527A1F"/>
    <w:rsid w:val="0053273C"/>
    <w:rsid w:val="005373BA"/>
    <w:rsid w:val="00550D83"/>
    <w:rsid w:val="0055508A"/>
    <w:rsid w:val="00574ED6"/>
    <w:rsid w:val="00582CB1"/>
    <w:rsid w:val="00590C2B"/>
    <w:rsid w:val="00592B86"/>
    <w:rsid w:val="005952D6"/>
    <w:rsid w:val="005972B5"/>
    <w:rsid w:val="005A01F5"/>
    <w:rsid w:val="005A40DE"/>
    <w:rsid w:val="005A6CF9"/>
    <w:rsid w:val="005B267A"/>
    <w:rsid w:val="005B5B28"/>
    <w:rsid w:val="005D2A99"/>
    <w:rsid w:val="005E31DF"/>
    <w:rsid w:val="005F4A3F"/>
    <w:rsid w:val="00605A09"/>
    <w:rsid w:val="00625551"/>
    <w:rsid w:val="00625935"/>
    <w:rsid w:val="00627A16"/>
    <w:rsid w:val="00631040"/>
    <w:rsid w:val="0063490F"/>
    <w:rsid w:val="00634FDC"/>
    <w:rsid w:val="006415BA"/>
    <w:rsid w:val="00643035"/>
    <w:rsid w:val="0064383C"/>
    <w:rsid w:val="00645CB8"/>
    <w:rsid w:val="006466C3"/>
    <w:rsid w:val="006612CB"/>
    <w:rsid w:val="00662782"/>
    <w:rsid w:val="0066434C"/>
    <w:rsid w:val="00670D33"/>
    <w:rsid w:val="00675FAB"/>
    <w:rsid w:val="00685B62"/>
    <w:rsid w:val="00695DDA"/>
    <w:rsid w:val="006A46B6"/>
    <w:rsid w:val="006A5D3C"/>
    <w:rsid w:val="006D23E7"/>
    <w:rsid w:val="006D59E2"/>
    <w:rsid w:val="006D7DF7"/>
    <w:rsid w:val="006E294E"/>
    <w:rsid w:val="006E5E0D"/>
    <w:rsid w:val="006F2AEE"/>
    <w:rsid w:val="006F3870"/>
    <w:rsid w:val="006F3DC6"/>
    <w:rsid w:val="0070381D"/>
    <w:rsid w:val="007053D3"/>
    <w:rsid w:val="0071435A"/>
    <w:rsid w:val="007259A2"/>
    <w:rsid w:val="00730CE1"/>
    <w:rsid w:val="0073371B"/>
    <w:rsid w:val="00735D44"/>
    <w:rsid w:val="00742B8B"/>
    <w:rsid w:val="00752979"/>
    <w:rsid w:val="007573DC"/>
    <w:rsid w:val="00757EC7"/>
    <w:rsid w:val="00764F6E"/>
    <w:rsid w:val="00767FFB"/>
    <w:rsid w:val="00771AEE"/>
    <w:rsid w:val="00771B63"/>
    <w:rsid w:val="007747AB"/>
    <w:rsid w:val="007757A3"/>
    <w:rsid w:val="00782F75"/>
    <w:rsid w:val="007847FE"/>
    <w:rsid w:val="00790DE8"/>
    <w:rsid w:val="00797C3E"/>
    <w:rsid w:val="007A32DC"/>
    <w:rsid w:val="007A3808"/>
    <w:rsid w:val="007A7AFD"/>
    <w:rsid w:val="007B4A8B"/>
    <w:rsid w:val="007C2A43"/>
    <w:rsid w:val="007E2BBD"/>
    <w:rsid w:val="007E4B98"/>
    <w:rsid w:val="00804662"/>
    <w:rsid w:val="0081570B"/>
    <w:rsid w:val="00817D70"/>
    <w:rsid w:val="00824070"/>
    <w:rsid w:val="00843B4B"/>
    <w:rsid w:val="00843D0E"/>
    <w:rsid w:val="0084501A"/>
    <w:rsid w:val="00847D29"/>
    <w:rsid w:val="0085195E"/>
    <w:rsid w:val="00862392"/>
    <w:rsid w:val="00864634"/>
    <w:rsid w:val="00875DC3"/>
    <w:rsid w:val="008823E6"/>
    <w:rsid w:val="00891629"/>
    <w:rsid w:val="0089237C"/>
    <w:rsid w:val="008928B6"/>
    <w:rsid w:val="008978C7"/>
    <w:rsid w:val="008A694D"/>
    <w:rsid w:val="008B06CC"/>
    <w:rsid w:val="008B63B9"/>
    <w:rsid w:val="008C02E9"/>
    <w:rsid w:val="008C7421"/>
    <w:rsid w:val="008D3F16"/>
    <w:rsid w:val="008E3249"/>
    <w:rsid w:val="008E5713"/>
    <w:rsid w:val="008F1961"/>
    <w:rsid w:val="008F6092"/>
    <w:rsid w:val="0090089F"/>
    <w:rsid w:val="00902206"/>
    <w:rsid w:val="00907EDD"/>
    <w:rsid w:val="00910D99"/>
    <w:rsid w:val="0091390E"/>
    <w:rsid w:val="00914DD5"/>
    <w:rsid w:val="0092448D"/>
    <w:rsid w:val="00924A5D"/>
    <w:rsid w:val="009261A3"/>
    <w:rsid w:val="009269D8"/>
    <w:rsid w:val="00933316"/>
    <w:rsid w:val="00935B2C"/>
    <w:rsid w:val="00936F6E"/>
    <w:rsid w:val="00945EF2"/>
    <w:rsid w:val="0095609C"/>
    <w:rsid w:val="00956CAC"/>
    <w:rsid w:val="0096210F"/>
    <w:rsid w:val="0096676A"/>
    <w:rsid w:val="00982FFE"/>
    <w:rsid w:val="00984898"/>
    <w:rsid w:val="00986C8F"/>
    <w:rsid w:val="00991E65"/>
    <w:rsid w:val="00992EB6"/>
    <w:rsid w:val="009936B5"/>
    <w:rsid w:val="00997F09"/>
    <w:rsid w:val="009B5F28"/>
    <w:rsid w:val="009C110A"/>
    <w:rsid w:val="009C43FF"/>
    <w:rsid w:val="009C5D07"/>
    <w:rsid w:val="009D1ACA"/>
    <w:rsid w:val="009D33E5"/>
    <w:rsid w:val="009D3D2E"/>
    <w:rsid w:val="009D45A2"/>
    <w:rsid w:val="009D793C"/>
    <w:rsid w:val="009E529D"/>
    <w:rsid w:val="009E5EC6"/>
    <w:rsid w:val="009E61BB"/>
    <w:rsid w:val="009F0175"/>
    <w:rsid w:val="00A04698"/>
    <w:rsid w:val="00A06EE8"/>
    <w:rsid w:val="00A1736C"/>
    <w:rsid w:val="00A17E83"/>
    <w:rsid w:val="00A34679"/>
    <w:rsid w:val="00A373B5"/>
    <w:rsid w:val="00A51CBC"/>
    <w:rsid w:val="00A603EB"/>
    <w:rsid w:val="00A67B4F"/>
    <w:rsid w:val="00A841F7"/>
    <w:rsid w:val="00AA38F3"/>
    <w:rsid w:val="00AA6187"/>
    <w:rsid w:val="00AB2AD4"/>
    <w:rsid w:val="00AB62BD"/>
    <w:rsid w:val="00AC0C4F"/>
    <w:rsid w:val="00AD2119"/>
    <w:rsid w:val="00AD6460"/>
    <w:rsid w:val="00AD64A2"/>
    <w:rsid w:val="00AD64B4"/>
    <w:rsid w:val="00AE10D9"/>
    <w:rsid w:val="00AE4B0E"/>
    <w:rsid w:val="00AF012F"/>
    <w:rsid w:val="00AF178C"/>
    <w:rsid w:val="00B0584B"/>
    <w:rsid w:val="00B17CC1"/>
    <w:rsid w:val="00B25347"/>
    <w:rsid w:val="00B328F3"/>
    <w:rsid w:val="00B33B69"/>
    <w:rsid w:val="00B429DF"/>
    <w:rsid w:val="00B534BC"/>
    <w:rsid w:val="00B62843"/>
    <w:rsid w:val="00B62F51"/>
    <w:rsid w:val="00B73A18"/>
    <w:rsid w:val="00B77B96"/>
    <w:rsid w:val="00B8301C"/>
    <w:rsid w:val="00B83F7D"/>
    <w:rsid w:val="00B8455A"/>
    <w:rsid w:val="00B9177B"/>
    <w:rsid w:val="00B93C33"/>
    <w:rsid w:val="00B94160"/>
    <w:rsid w:val="00BB18BF"/>
    <w:rsid w:val="00BB1BD8"/>
    <w:rsid w:val="00BC18F3"/>
    <w:rsid w:val="00BC515B"/>
    <w:rsid w:val="00BD0FA6"/>
    <w:rsid w:val="00BD66E6"/>
    <w:rsid w:val="00BE04BB"/>
    <w:rsid w:val="00BE0AEC"/>
    <w:rsid w:val="00BE245B"/>
    <w:rsid w:val="00BF63C2"/>
    <w:rsid w:val="00C0138B"/>
    <w:rsid w:val="00C05FDE"/>
    <w:rsid w:val="00C11338"/>
    <w:rsid w:val="00C13C20"/>
    <w:rsid w:val="00C15F99"/>
    <w:rsid w:val="00C253D8"/>
    <w:rsid w:val="00C25C0E"/>
    <w:rsid w:val="00C26D7C"/>
    <w:rsid w:val="00C406D9"/>
    <w:rsid w:val="00C44556"/>
    <w:rsid w:val="00C523A1"/>
    <w:rsid w:val="00C57EB6"/>
    <w:rsid w:val="00C61F2C"/>
    <w:rsid w:val="00C766CC"/>
    <w:rsid w:val="00C8664C"/>
    <w:rsid w:val="00CA0004"/>
    <w:rsid w:val="00CA00E8"/>
    <w:rsid w:val="00CA07E1"/>
    <w:rsid w:val="00CA0A64"/>
    <w:rsid w:val="00CA3B3A"/>
    <w:rsid w:val="00CA54F5"/>
    <w:rsid w:val="00CA6506"/>
    <w:rsid w:val="00CB098B"/>
    <w:rsid w:val="00CB5B71"/>
    <w:rsid w:val="00CB701A"/>
    <w:rsid w:val="00CB79B9"/>
    <w:rsid w:val="00CC5DA5"/>
    <w:rsid w:val="00CD1245"/>
    <w:rsid w:val="00CE0F79"/>
    <w:rsid w:val="00CE123C"/>
    <w:rsid w:val="00CE2E56"/>
    <w:rsid w:val="00CE6A36"/>
    <w:rsid w:val="00CE79E1"/>
    <w:rsid w:val="00CF5E6E"/>
    <w:rsid w:val="00D07491"/>
    <w:rsid w:val="00D10A7D"/>
    <w:rsid w:val="00D11FC1"/>
    <w:rsid w:val="00D12128"/>
    <w:rsid w:val="00D15697"/>
    <w:rsid w:val="00D166BB"/>
    <w:rsid w:val="00D3169C"/>
    <w:rsid w:val="00D406B9"/>
    <w:rsid w:val="00D41315"/>
    <w:rsid w:val="00D50C6C"/>
    <w:rsid w:val="00D534FA"/>
    <w:rsid w:val="00D60BD9"/>
    <w:rsid w:val="00D67FED"/>
    <w:rsid w:val="00D74FD2"/>
    <w:rsid w:val="00D82E19"/>
    <w:rsid w:val="00D95C6D"/>
    <w:rsid w:val="00D96CA9"/>
    <w:rsid w:val="00DB2C84"/>
    <w:rsid w:val="00DB4177"/>
    <w:rsid w:val="00DB6259"/>
    <w:rsid w:val="00DC1F51"/>
    <w:rsid w:val="00DC5B1A"/>
    <w:rsid w:val="00DC5F30"/>
    <w:rsid w:val="00DD226A"/>
    <w:rsid w:val="00DD285E"/>
    <w:rsid w:val="00DD4168"/>
    <w:rsid w:val="00DE3A28"/>
    <w:rsid w:val="00DF5DEB"/>
    <w:rsid w:val="00E03304"/>
    <w:rsid w:val="00E04C6A"/>
    <w:rsid w:val="00E14FFC"/>
    <w:rsid w:val="00E17342"/>
    <w:rsid w:val="00E25CBF"/>
    <w:rsid w:val="00E261C9"/>
    <w:rsid w:val="00E31C09"/>
    <w:rsid w:val="00E37359"/>
    <w:rsid w:val="00E43D14"/>
    <w:rsid w:val="00E47FA8"/>
    <w:rsid w:val="00E5549C"/>
    <w:rsid w:val="00E56CF7"/>
    <w:rsid w:val="00E634AF"/>
    <w:rsid w:val="00E67EEE"/>
    <w:rsid w:val="00E761AC"/>
    <w:rsid w:val="00E83630"/>
    <w:rsid w:val="00E8456E"/>
    <w:rsid w:val="00E87783"/>
    <w:rsid w:val="00EA17A5"/>
    <w:rsid w:val="00EA3C2D"/>
    <w:rsid w:val="00EA5C3B"/>
    <w:rsid w:val="00EA6750"/>
    <w:rsid w:val="00EB2ADC"/>
    <w:rsid w:val="00EB3297"/>
    <w:rsid w:val="00EC143D"/>
    <w:rsid w:val="00EC640B"/>
    <w:rsid w:val="00ED0D71"/>
    <w:rsid w:val="00ED454C"/>
    <w:rsid w:val="00EF1426"/>
    <w:rsid w:val="00EF3AE9"/>
    <w:rsid w:val="00EF43DD"/>
    <w:rsid w:val="00F07642"/>
    <w:rsid w:val="00F16871"/>
    <w:rsid w:val="00F202BE"/>
    <w:rsid w:val="00F21793"/>
    <w:rsid w:val="00F2300D"/>
    <w:rsid w:val="00F24D1C"/>
    <w:rsid w:val="00F258CA"/>
    <w:rsid w:val="00F26F7E"/>
    <w:rsid w:val="00F274C6"/>
    <w:rsid w:val="00F30028"/>
    <w:rsid w:val="00F3675B"/>
    <w:rsid w:val="00F40233"/>
    <w:rsid w:val="00F40525"/>
    <w:rsid w:val="00F41253"/>
    <w:rsid w:val="00F509BA"/>
    <w:rsid w:val="00F6057C"/>
    <w:rsid w:val="00F6590A"/>
    <w:rsid w:val="00F86863"/>
    <w:rsid w:val="00F921AA"/>
    <w:rsid w:val="00F92ADD"/>
    <w:rsid w:val="00F93ECB"/>
    <w:rsid w:val="00F94B47"/>
    <w:rsid w:val="00F95F70"/>
    <w:rsid w:val="00F96076"/>
    <w:rsid w:val="00FA157D"/>
    <w:rsid w:val="00FA6AE1"/>
    <w:rsid w:val="00FB09B5"/>
    <w:rsid w:val="00FB1C3C"/>
    <w:rsid w:val="00FB5001"/>
    <w:rsid w:val="00FC2A59"/>
    <w:rsid w:val="00FD1A97"/>
    <w:rsid w:val="00FD4628"/>
    <w:rsid w:val="00FD6A7B"/>
    <w:rsid w:val="00FD713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893-8CBA-48EC-B86A-601AC11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E71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2E7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1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E8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2">
    <w:name w:val="Akapit z listą2"/>
    <w:basedOn w:val="Normalny"/>
    <w:rsid w:val="00BB18BF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B09B5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8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B5"/>
    <w:rPr>
      <w:rFonts w:ascii="Tahoma" w:eastAsia="Calibri" w:hAnsi="Tahoma" w:cs="Times New Roman"/>
      <w:color w:val="1E1E1E"/>
      <w:spacing w:val="4"/>
      <w:sz w:val="18"/>
    </w:rPr>
  </w:style>
  <w:style w:type="paragraph" w:styleId="Nagwek">
    <w:name w:val="header"/>
    <w:basedOn w:val="Normalny"/>
    <w:link w:val="Nagwek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43D14"/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E43D1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30"/>
    <w:rPr>
      <w:vertAlign w:val="superscript"/>
    </w:rPr>
  </w:style>
  <w:style w:type="paragraph" w:customStyle="1" w:styleId="Akapitzlist1">
    <w:name w:val="Akapit z listą1"/>
    <w:basedOn w:val="Normalny"/>
    <w:rsid w:val="00BF63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F63C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rsid w:val="00BF63C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F63C2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3C2"/>
    <w:rPr>
      <w:rFonts w:ascii="Calibri" w:eastAsia="Calibri" w:hAnsi="Calibri" w:cs="Calibri"/>
    </w:rPr>
  </w:style>
  <w:style w:type="paragraph" w:customStyle="1" w:styleId="Styl1">
    <w:name w:val="Styl1"/>
    <w:basedOn w:val="Nagwek2"/>
    <w:rsid w:val="00065B61"/>
    <w:pPr>
      <w:keepLines w:val="0"/>
      <w:spacing w:before="240" w:after="6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B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3">
    <w:name w:val="Akapit z listą3"/>
    <w:basedOn w:val="Normalny"/>
    <w:rsid w:val="0096210F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C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CA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95D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rsid w:val="00C0138B"/>
    <w:pPr>
      <w:widowControl w:val="0"/>
      <w:overflowPunct w:val="0"/>
      <w:autoSpaceDE w:val="0"/>
      <w:ind w:left="360" w:hanging="360"/>
      <w:textAlignment w:val="baseline"/>
    </w:pPr>
    <w:rPr>
      <w:rFonts w:eastAsia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2EF0-5864-448A-BAF0-33F5DB8C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Błażewicz Sławomir - d02blazs</dc:creator>
  <cp:keywords/>
  <dc:description/>
  <cp:lastModifiedBy>KingaF</cp:lastModifiedBy>
  <cp:revision>4</cp:revision>
  <cp:lastPrinted>2019-11-20T10:47:00Z</cp:lastPrinted>
  <dcterms:created xsi:type="dcterms:W3CDTF">2019-11-20T10:29:00Z</dcterms:created>
  <dcterms:modified xsi:type="dcterms:W3CDTF">2019-11-20T10:48:00Z</dcterms:modified>
</cp:coreProperties>
</file>