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961"/>
        <w:gridCol w:w="2761"/>
      </w:tblGrid>
      <w:tr w:rsidR="00FE522E" w:rsidRPr="0066148B" w14:paraId="5038AA75" w14:textId="77777777" w:rsidTr="00E23177">
        <w:tblPrEx>
          <w:tblCellMar>
            <w:top w:w="0" w:type="dxa"/>
            <w:bottom w:w="0" w:type="dxa"/>
          </w:tblCellMar>
        </w:tblPrEx>
        <w:tc>
          <w:tcPr>
            <w:tcW w:w="1488" w:type="dxa"/>
          </w:tcPr>
          <w:p w14:paraId="6B0D93A6" w14:textId="11A8C90E" w:rsidR="00FE522E" w:rsidRPr="0066148B" w:rsidRDefault="00FE522E" w:rsidP="00E23177">
            <w:pPr>
              <w:jc w:val="center"/>
            </w:pPr>
            <w:r w:rsidRPr="0066148B">
              <w:rPr>
                <w:noProof/>
              </w:rPr>
              <w:drawing>
                <wp:inline distT="0" distB="0" distL="0" distR="0" wp14:anchorId="3A3A564D" wp14:editId="3C39D4E2">
                  <wp:extent cx="771525" cy="923925"/>
                  <wp:effectExtent l="0" t="0" r="9525" b="9525"/>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tc>
        <w:tc>
          <w:tcPr>
            <w:tcW w:w="4961" w:type="dxa"/>
            <w:vAlign w:val="center"/>
          </w:tcPr>
          <w:p w14:paraId="02E632AE" w14:textId="77777777" w:rsidR="00FE522E" w:rsidRPr="0066148B" w:rsidRDefault="00FE522E" w:rsidP="00E23177">
            <w:pPr>
              <w:jc w:val="center"/>
              <w:rPr>
                <w:b/>
                <w:sz w:val="24"/>
              </w:rPr>
            </w:pPr>
            <w:r w:rsidRPr="0066148B">
              <w:rPr>
                <w:b/>
                <w:sz w:val="24"/>
              </w:rPr>
              <w:t>URZĄD MIASTA ZAMBRÓW</w:t>
            </w:r>
          </w:p>
          <w:p w14:paraId="5432FBED" w14:textId="77777777" w:rsidR="00FE522E" w:rsidRPr="0066148B" w:rsidRDefault="00FE522E" w:rsidP="00E23177">
            <w:pPr>
              <w:jc w:val="center"/>
              <w:rPr>
                <w:b/>
                <w:sz w:val="24"/>
              </w:rPr>
            </w:pPr>
            <w:r w:rsidRPr="0066148B">
              <w:rPr>
                <w:b/>
                <w:sz w:val="24"/>
              </w:rPr>
              <w:t>ul. Fabryczna 3</w:t>
            </w:r>
          </w:p>
          <w:p w14:paraId="42F78E37" w14:textId="77777777" w:rsidR="00FE522E" w:rsidRPr="0066148B" w:rsidRDefault="00FE522E" w:rsidP="00E23177">
            <w:pPr>
              <w:jc w:val="center"/>
              <w:rPr>
                <w:b/>
                <w:sz w:val="24"/>
              </w:rPr>
            </w:pPr>
            <w:r w:rsidRPr="0066148B">
              <w:rPr>
                <w:b/>
                <w:sz w:val="24"/>
              </w:rPr>
              <w:t>18-300 Zambrów</w:t>
            </w:r>
          </w:p>
          <w:p w14:paraId="2E1799AA" w14:textId="77777777" w:rsidR="00FE522E" w:rsidRPr="0066148B" w:rsidRDefault="00FE522E" w:rsidP="00E23177">
            <w:pPr>
              <w:jc w:val="center"/>
              <w:rPr>
                <w:b/>
                <w:sz w:val="24"/>
              </w:rPr>
            </w:pPr>
            <w:r w:rsidRPr="0066148B">
              <w:rPr>
                <w:b/>
                <w:sz w:val="24"/>
              </w:rPr>
              <w:t>tel. 86 271-22-10, fax 86 271-21-17</w:t>
            </w:r>
          </w:p>
        </w:tc>
        <w:tc>
          <w:tcPr>
            <w:tcW w:w="2761" w:type="dxa"/>
            <w:vAlign w:val="center"/>
          </w:tcPr>
          <w:p w14:paraId="5A6EE5C0" w14:textId="77777777" w:rsidR="00FE522E" w:rsidRPr="0066148B" w:rsidRDefault="00FE522E" w:rsidP="00E23177">
            <w:pPr>
              <w:rPr>
                <w:sz w:val="24"/>
              </w:rPr>
            </w:pPr>
            <w:r w:rsidRPr="0066148B">
              <w:rPr>
                <w:sz w:val="24"/>
              </w:rPr>
              <w:t>adres www:</w:t>
            </w:r>
          </w:p>
          <w:p w14:paraId="6B70CC2A" w14:textId="77777777" w:rsidR="00FE522E" w:rsidRPr="0066148B" w:rsidRDefault="00FE522E" w:rsidP="00E23177">
            <w:pPr>
              <w:rPr>
                <w:sz w:val="24"/>
              </w:rPr>
            </w:pPr>
            <w:r w:rsidRPr="0066148B">
              <w:rPr>
                <w:sz w:val="24"/>
              </w:rPr>
              <w:tab/>
            </w:r>
            <w:hyperlink r:id="rId6" w:history="1">
              <w:r w:rsidRPr="0066148B">
                <w:rPr>
                  <w:color w:val="0000FF"/>
                  <w:sz w:val="24"/>
                  <w:u w:val="single"/>
                </w:rPr>
                <w:t>www.zambrow.pl</w:t>
              </w:r>
            </w:hyperlink>
          </w:p>
          <w:p w14:paraId="61556A28" w14:textId="77777777" w:rsidR="00FE522E" w:rsidRPr="0066148B" w:rsidRDefault="00FE522E" w:rsidP="00E23177">
            <w:pPr>
              <w:rPr>
                <w:sz w:val="24"/>
              </w:rPr>
            </w:pPr>
            <w:r w:rsidRPr="0066148B">
              <w:rPr>
                <w:sz w:val="24"/>
              </w:rPr>
              <w:t>e-mail:</w:t>
            </w:r>
          </w:p>
          <w:p w14:paraId="24D666F6" w14:textId="77777777" w:rsidR="00FE522E" w:rsidRPr="0066148B" w:rsidRDefault="00FE522E" w:rsidP="00E23177">
            <w:pPr>
              <w:rPr>
                <w:sz w:val="24"/>
              </w:rPr>
            </w:pPr>
            <w:r w:rsidRPr="0066148B">
              <w:rPr>
                <w:sz w:val="24"/>
              </w:rPr>
              <w:tab/>
            </w:r>
            <w:hyperlink r:id="rId7" w:history="1">
              <w:r w:rsidRPr="0066148B">
                <w:rPr>
                  <w:color w:val="0000FF"/>
                  <w:sz w:val="24"/>
                  <w:u w:val="single"/>
                </w:rPr>
                <w:t>um@zambrow.pl</w:t>
              </w:r>
            </w:hyperlink>
          </w:p>
        </w:tc>
      </w:tr>
    </w:tbl>
    <w:p w14:paraId="28F02219" w14:textId="77777777" w:rsidR="00FE522E" w:rsidRPr="0066148B" w:rsidRDefault="00FE522E" w:rsidP="00FE522E">
      <w:pPr>
        <w:rPr>
          <w:b/>
          <w:sz w:val="24"/>
        </w:rPr>
      </w:pPr>
    </w:p>
    <w:p w14:paraId="1F58D986" w14:textId="77777777" w:rsidR="00FE522E" w:rsidRPr="0066148B" w:rsidRDefault="00FE522E" w:rsidP="00FE522E">
      <w:pPr>
        <w:jc w:val="center"/>
        <w:rPr>
          <w:b/>
          <w:sz w:val="24"/>
        </w:rPr>
      </w:pPr>
      <w:r w:rsidRPr="0066148B">
        <w:rPr>
          <w:b/>
          <w:sz w:val="24"/>
        </w:rPr>
        <w:t>WYDZIAŁ</w:t>
      </w:r>
      <w:r>
        <w:rPr>
          <w:b/>
          <w:sz w:val="24"/>
        </w:rPr>
        <w:t xml:space="preserve"> </w:t>
      </w:r>
      <w:r w:rsidRPr="0066148B">
        <w:rPr>
          <w:b/>
          <w:sz w:val="24"/>
        </w:rPr>
        <w:t>SPRAW OBYWATESLKICH</w:t>
      </w:r>
    </w:p>
    <w:p w14:paraId="2E9DA540" w14:textId="77777777" w:rsidR="00FE522E" w:rsidRPr="0066148B" w:rsidRDefault="00FE522E" w:rsidP="00FE522E">
      <w:pPr>
        <w:jc w:val="center"/>
        <w:rPr>
          <w:b/>
          <w:sz w:val="24"/>
        </w:rPr>
      </w:pPr>
      <w:r>
        <w:rPr>
          <w:b/>
          <w:sz w:val="24"/>
        </w:rPr>
        <w:t>KARTA USŁUG NR SO/10</w:t>
      </w:r>
    </w:p>
    <w:p w14:paraId="70D94B3C" w14:textId="77777777" w:rsidR="00FE522E" w:rsidRPr="0066148B" w:rsidRDefault="00FE522E" w:rsidP="00FE522E">
      <w:pPr>
        <w:rPr>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E522E" w:rsidRPr="0066148B" w14:paraId="5E1A7013" w14:textId="77777777" w:rsidTr="00E23177">
        <w:tblPrEx>
          <w:tblCellMar>
            <w:top w:w="0" w:type="dxa"/>
            <w:bottom w:w="0" w:type="dxa"/>
          </w:tblCellMar>
        </w:tblPrEx>
        <w:tc>
          <w:tcPr>
            <w:tcW w:w="9284" w:type="dxa"/>
          </w:tcPr>
          <w:p w14:paraId="5B282578" w14:textId="77777777" w:rsidR="00FE522E" w:rsidRPr="0066148B" w:rsidRDefault="00FE522E" w:rsidP="00E23177">
            <w:pPr>
              <w:rPr>
                <w:sz w:val="24"/>
                <w:u w:val="single"/>
              </w:rPr>
            </w:pPr>
            <w:r w:rsidRPr="0066148B">
              <w:rPr>
                <w:b/>
                <w:sz w:val="24"/>
                <w:u w:val="single"/>
              </w:rPr>
              <w:t>Nazwa sprawy</w:t>
            </w:r>
            <w:r w:rsidRPr="0066148B">
              <w:rPr>
                <w:sz w:val="24"/>
                <w:u w:val="single"/>
              </w:rPr>
              <w:t>:</w:t>
            </w:r>
          </w:p>
          <w:p w14:paraId="2E32635B" w14:textId="77777777" w:rsidR="00FE522E" w:rsidRPr="00AE43EF" w:rsidRDefault="00FE522E" w:rsidP="00E23177">
            <w:pPr>
              <w:shd w:val="clear" w:color="auto" w:fill="FFFFFF"/>
              <w:spacing w:before="100" w:beforeAutospacing="1" w:after="100" w:afterAutospacing="1" w:line="236" w:lineRule="atLeast"/>
              <w:jc w:val="center"/>
              <w:rPr>
                <w:b/>
                <w:color w:val="000000"/>
                <w:sz w:val="28"/>
                <w:szCs w:val="28"/>
              </w:rPr>
            </w:pPr>
            <w:r w:rsidRPr="00AE43EF">
              <w:rPr>
                <w:b/>
                <w:sz w:val="28"/>
                <w:szCs w:val="28"/>
              </w:rPr>
              <w:t>ZAMELDOWANIE NA POBYT STAŁY LUB CZASOWY (NIE DOTYCZY CUDZOZIEMCÓW)</w:t>
            </w:r>
          </w:p>
        </w:tc>
      </w:tr>
      <w:tr w:rsidR="00FE522E" w:rsidRPr="0066148B" w14:paraId="53EEF1D4" w14:textId="77777777" w:rsidTr="00E23177">
        <w:tblPrEx>
          <w:tblCellMar>
            <w:top w:w="0" w:type="dxa"/>
            <w:bottom w:w="0" w:type="dxa"/>
          </w:tblCellMar>
        </w:tblPrEx>
        <w:tc>
          <w:tcPr>
            <w:tcW w:w="9284" w:type="dxa"/>
          </w:tcPr>
          <w:p w14:paraId="374A76D3" w14:textId="77777777" w:rsidR="00FE522E" w:rsidRPr="0066148B" w:rsidRDefault="00FE522E" w:rsidP="00E23177">
            <w:pPr>
              <w:rPr>
                <w:b/>
                <w:sz w:val="24"/>
                <w:u w:val="single"/>
              </w:rPr>
            </w:pPr>
            <w:r w:rsidRPr="0066148B">
              <w:rPr>
                <w:b/>
                <w:sz w:val="24"/>
                <w:u w:val="single"/>
              </w:rPr>
              <w:t>Podstawa prawna:</w:t>
            </w:r>
          </w:p>
          <w:p w14:paraId="3EBD4209" w14:textId="77777777" w:rsidR="00FE522E" w:rsidRDefault="00FE522E" w:rsidP="00E23177">
            <w:pPr>
              <w:shd w:val="clear" w:color="auto" w:fill="FFFFFF"/>
              <w:ind w:left="720"/>
              <w:jc w:val="both"/>
              <w:rPr>
                <w:color w:val="000000"/>
                <w:sz w:val="24"/>
                <w:szCs w:val="24"/>
              </w:rPr>
            </w:pPr>
            <w:r w:rsidRPr="001E5C1E">
              <w:rPr>
                <w:color w:val="000000"/>
                <w:sz w:val="24"/>
                <w:szCs w:val="24"/>
              </w:rPr>
              <w:t>1. Ustawa z dnia 24 września 2010 r. o ewidencji ludności (Dz. U. z 201</w:t>
            </w:r>
            <w:r>
              <w:rPr>
                <w:color w:val="000000"/>
                <w:sz w:val="24"/>
                <w:szCs w:val="24"/>
              </w:rPr>
              <w:t>9</w:t>
            </w:r>
            <w:r w:rsidRPr="001E5C1E">
              <w:rPr>
                <w:color w:val="000000"/>
                <w:sz w:val="24"/>
                <w:szCs w:val="24"/>
              </w:rPr>
              <w:t>r. poz.</w:t>
            </w:r>
            <w:r>
              <w:rPr>
                <w:color w:val="000000"/>
                <w:sz w:val="24"/>
                <w:szCs w:val="24"/>
              </w:rPr>
              <w:t xml:space="preserve"> 1397 </w:t>
            </w:r>
            <w:r w:rsidRPr="001E5C1E">
              <w:rPr>
                <w:color w:val="000000"/>
                <w:sz w:val="24"/>
                <w:szCs w:val="24"/>
              </w:rPr>
              <w:t>z</w:t>
            </w:r>
            <w:r>
              <w:rPr>
                <w:color w:val="000000"/>
                <w:sz w:val="24"/>
                <w:szCs w:val="24"/>
              </w:rPr>
              <w:t> </w:t>
            </w:r>
            <w:proofErr w:type="spellStart"/>
            <w:r w:rsidRPr="001E5C1E">
              <w:rPr>
                <w:color w:val="000000"/>
                <w:sz w:val="24"/>
                <w:szCs w:val="24"/>
              </w:rPr>
              <w:t>późn</w:t>
            </w:r>
            <w:proofErr w:type="spellEnd"/>
            <w:r w:rsidRPr="001E5C1E">
              <w:rPr>
                <w:color w:val="000000"/>
                <w:sz w:val="24"/>
                <w:szCs w:val="24"/>
              </w:rPr>
              <w:t xml:space="preserve">. zm.). </w:t>
            </w:r>
          </w:p>
          <w:p w14:paraId="7D9B34BF" w14:textId="77777777" w:rsidR="00FE522E" w:rsidRDefault="00FE522E" w:rsidP="00E23177">
            <w:pPr>
              <w:shd w:val="clear" w:color="auto" w:fill="FFFFFF"/>
              <w:ind w:left="720"/>
              <w:jc w:val="both"/>
              <w:rPr>
                <w:color w:val="000000"/>
                <w:sz w:val="24"/>
                <w:szCs w:val="24"/>
              </w:rPr>
            </w:pPr>
            <w:r w:rsidRPr="001E5C1E">
              <w:rPr>
                <w:color w:val="000000"/>
                <w:sz w:val="24"/>
                <w:szCs w:val="24"/>
              </w:rPr>
              <w:t xml:space="preserve">2. </w:t>
            </w:r>
            <w:r w:rsidRPr="009B78EB">
              <w:rPr>
                <w:color w:val="000000"/>
                <w:sz w:val="24"/>
                <w:szCs w:val="24"/>
              </w:rPr>
              <w:t xml:space="preserve">Rozporządzenie Ministra Spraw Wewnętrznych i Administracji z dnia 13 grudnia 2017 r. w sprawie określenia wzorów i sposobu wypełniania formularzy stosowanych przy wykonywaniu obowiązku meldunkowego. (Dz. U. z 2017 r. poz. 2411 ) </w:t>
            </w:r>
          </w:p>
          <w:p w14:paraId="46438FA7" w14:textId="77777777" w:rsidR="00FE522E" w:rsidRPr="001E5C1E" w:rsidRDefault="00FE522E" w:rsidP="00E23177">
            <w:pPr>
              <w:shd w:val="clear" w:color="auto" w:fill="FFFFFF"/>
              <w:ind w:left="720"/>
              <w:jc w:val="both"/>
              <w:rPr>
                <w:color w:val="000000"/>
                <w:sz w:val="24"/>
                <w:szCs w:val="24"/>
              </w:rPr>
            </w:pPr>
            <w:r w:rsidRPr="001E5C1E">
              <w:rPr>
                <w:color w:val="000000"/>
                <w:sz w:val="24"/>
                <w:szCs w:val="24"/>
              </w:rPr>
              <w:t>3. Ustawa z dnia 16 listopada 2006 r</w:t>
            </w:r>
            <w:r>
              <w:rPr>
                <w:color w:val="000000"/>
                <w:sz w:val="24"/>
                <w:szCs w:val="24"/>
              </w:rPr>
              <w:t>. o opłacie skarbowej (Dz.U z 2020r. poz.1546 z </w:t>
            </w:r>
            <w:proofErr w:type="spellStart"/>
            <w:r>
              <w:rPr>
                <w:color w:val="000000"/>
                <w:sz w:val="24"/>
                <w:szCs w:val="24"/>
              </w:rPr>
              <w:t>późn</w:t>
            </w:r>
            <w:proofErr w:type="spellEnd"/>
            <w:r>
              <w:rPr>
                <w:color w:val="000000"/>
                <w:sz w:val="24"/>
                <w:szCs w:val="24"/>
              </w:rPr>
              <w:t xml:space="preserve">. </w:t>
            </w:r>
            <w:r w:rsidRPr="001E5C1E">
              <w:rPr>
                <w:color w:val="000000"/>
                <w:sz w:val="24"/>
                <w:szCs w:val="24"/>
              </w:rPr>
              <w:t>zm</w:t>
            </w:r>
            <w:r>
              <w:rPr>
                <w:color w:val="000000"/>
                <w:sz w:val="24"/>
                <w:szCs w:val="24"/>
              </w:rPr>
              <w:t>.</w:t>
            </w:r>
            <w:r w:rsidRPr="001E5C1E">
              <w:rPr>
                <w:color w:val="000000"/>
                <w:sz w:val="24"/>
                <w:szCs w:val="24"/>
              </w:rPr>
              <w:t>).</w:t>
            </w:r>
          </w:p>
          <w:p w14:paraId="28EAD4B5" w14:textId="77777777" w:rsidR="00FE522E" w:rsidRPr="0066148B" w:rsidRDefault="00FE522E" w:rsidP="00E23177">
            <w:pPr>
              <w:shd w:val="clear" w:color="auto" w:fill="FFFFFF"/>
              <w:ind w:left="720"/>
              <w:jc w:val="both"/>
              <w:rPr>
                <w:color w:val="000000"/>
                <w:sz w:val="24"/>
                <w:szCs w:val="24"/>
              </w:rPr>
            </w:pPr>
            <w:r w:rsidRPr="001E5C1E">
              <w:rPr>
                <w:color w:val="000000"/>
                <w:sz w:val="24"/>
                <w:szCs w:val="24"/>
              </w:rPr>
              <w:t> </w:t>
            </w:r>
            <w:r w:rsidRPr="0066148B">
              <w:rPr>
                <w:color w:val="000000"/>
                <w:sz w:val="24"/>
                <w:szCs w:val="24"/>
              </w:rPr>
              <w:t> </w:t>
            </w:r>
          </w:p>
        </w:tc>
      </w:tr>
      <w:tr w:rsidR="00FE522E" w:rsidRPr="0066148B" w14:paraId="1832B5D2" w14:textId="77777777" w:rsidTr="00E23177">
        <w:tblPrEx>
          <w:tblCellMar>
            <w:top w:w="0" w:type="dxa"/>
            <w:bottom w:w="0" w:type="dxa"/>
          </w:tblCellMar>
        </w:tblPrEx>
        <w:tc>
          <w:tcPr>
            <w:tcW w:w="9284" w:type="dxa"/>
          </w:tcPr>
          <w:p w14:paraId="10C03633" w14:textId="77777777" w:rsidR="00FE522E" w:rsidRPr="0066148B" w:rsidRDefault="00FE522E" w:rsidP="00E23177">
            <w:pPr>
              <w:rPr>
                <w:b/>
                <w:sz w:val="24"/>
                <w:u w:val="single"/>
              </w:rPr>
            </w:pPr>
            <w:r w:rsidRPr="0066148B">
              <w:rPr>
                <w:b/>
                <w:sz w:val="24"/>
                <w:u w:val="single"/>
              </w:rPr>
              <w:t>Wymagane dokumenty:</w:t>
            </w:r>
          </w:p>
          <w:p w14:paraId="38EBF062" w14:textId="77777777" w:rsidR="00FE522E" w:rsidRPr="00B02488" w:rsidRDefault="00FE522E" w:rsidP="00E23177">
            <w:pPr>
              <w:shd w:val="clear" w:color="auto" w:fill="FFFFFF"/>
              <w:ind w:left="721"/>
              <w:jc w:val="both"/>
              <w:rPr>
                <w:color w:val="000000"/>
                <w:sz w:val="22"/>
                <w:szCs w:val="22"/>
              </w:rPr>
            </w:pPr>
            <w:r w:rsidRPr="00B02488">
              <w:rPr>
                <w:color w:val="000000"/>
                <w:sz w:val="22"/>
                <w:szCs w:val="22"/>
              </w:rPr>
              <w:t>1. Wypełniony formularz (załączniki nr 2 i 3).</w:t>
            </w:r>
          </w:p>
          <w:p w14:paraId="4E71BFBC" w14:textId="77777777" w:rsidR="00FE522E" w:rsidRPr="00B02488" w:rsidRDefault="00FE522E" w:rsidP="00E23177">
            <w:pPr>
              <w:shd w:val="clear" w:color="auto" w:fill="FFFFFF"/>
              <w:ind w:left="721"/>
              <w:jc w:val="both"/>
              <w:rPr>
                <w:color w:val="000000"/>
                <w:sz w:val="22"/>
                <w:szCs w:val="22"/>
              </w:rPr>
            </w:pPr>
            <w:r w:rsidRPr="00B02488">
              <w:rPr>
                <w:color w:val="000000"/>
                <w:sz w:val="22"/>
                <w:szCs w:val="22"/>
              </w:rPr>
              <w:t>2. Dowód osobisty lub paszport.</w:t>
            </w:r>
          </w:p>
          <w:p w14:paraId="7CD56ADB" w14:textId="77777777" w:rsidR="00FE522E" w:rsidRPr="00B02488" w:rsidRDefault="00FE522E" w:rsidP="00E23177">
            <w:pPr>
              <w:shd w:val="clear" w:color="auto" w:fill="FFFFFF"/>
              <w:ind w:left="721"/>
              <w:jc w:val="both"/>
              <w:rPr>
                <w:color w:val="000000"/>
                <w:sz w:val="22"/>
                <w:szCs w:val="22"/>
              </w:rPr>
            </w:pPr>
            <w:r w:rsidRPr="00B02488">
              <w:rPr>
                <w:color w:val="000000"/>
                <w:sz w:val="22"/>
                <w:szCs w:val="22"/>
              </w:rPr>
              <w:t>3. Przy zameldowaniu na pobyt stały lub czasowy osoba zgłaszająca przedstawia potwierdzenie pobytu w lokalu, dokonane przez właściciela lub inny podmiot dysponujący tytułem prawnym do lokalu, oraz, do wglądu, dokument (oryginał) potwierdzający tytuł prawny do lokalu tego podmiotu. Potwierdzenia faktu pobytu osoby w lokalu dokonuje się na formularzu meldunkowym w formie czytelnego podpisu z oznaczeniem daty jego złożenia. Dokumentem potwierdzającym tytuł prawny do lokalu może być umowa cywilno-prawna, odpis z księgi wieczystej albo    wyciąg z działów I –</w:t>
            </w:r>
            <w:r>
              <w:rPr>
                <w:color w:val="000000"/>
                <w:sz w:val="22"/>
                <w:szCs w:val="22"/>
              </w:rPr>
              <w:t xml:space="preserve"> </w:t>
            </w:r>
            <w:r w:rsidRPr="00B02488">
              <w:rPr>
                <w:color w:val="000000"/>
                <w:sz w:val="22"/>
                <w:szCs w:val="22"/>
              </w:rPr>
              <w:t xml:space="preserve">II księgi wieczystej, decyzja administracyjna, orzeczenie sądu lub inny dokument poświadczający tytuł prawny do lokalu. </w:t>
            </w:r>
          </w:p>
          <w:p w14:paraId="2271526A" w14:textId="77777777" w:rsidR="00FE522E" w:rsidRDefault="00FE522E" w:rsidP="00E23177">
            <w:pPr>
              <w:shd w:val="clear" w:color="auto" w:fill="FFFFFF"/>
              <w:ind w:left="721"/>
              <w:jc w:val="both"/>
              <w:rPr>
                <w:color w:val="000000"/>
                <w:sz w:val="22"/>
                <w:szCs w:val="22"/>
              </w:rPr>
            </w:pPr>
            <w:r w:rsidRPr="00B02488">
              <w:rPr>
                <w:color w:val="000000"/>
                <w:sz w:val="22"/>
                <w:szCs w:val="22"/>
              </w:rPr>
              <w:t>4. Obywatel polski dokonujący zameldowania w formie dokumentu elektronicznego (www.obywatel.gov.pl) przy wykorzystaniu środków komunikacji elektronicznej, na zasadach określonych w ustawie z dnia 17 lutego 2005 r. o informatyzacji działalności podmiotów realizujących zadania publiczne dołącza dokument elektroniczny potwierdzający jego tytuł prawny do lokalu, a w razie niemożności jego uzyskania – odwzorowanie cyfrowe tego dokumentu, a obywatel nieposiadający tytułu prawnego do lokalu dołącza do formularza dokument elektroniczny zawierający oświadczenie właściciela lub innego podmiotu dysponującego tytułem prawnym do lokalu potwierdzające pobyt w lokalu oraz dokument potwierdzający tytuł prawny do lokalu tego właściciela lub podmiotu, a w razie niemożności ich uzyskania – odwzorowanie cyfrowe tych dokumentów.</w:t>
            </w:r>
          </w:p>
          <w:p w14:paraId="707373E9" w14:textId="77777777" w:rsidR="00FE522E" w:rsidRPr="0066148B" w:rsidRDefault="00FE522E" w:rsidP="00E23177">
            <w:pPr>
              <w:shd w:val="clear" w:color="auto" w:fill="FFFFFF"/>
              <w:ind w:left="721"/>
              <w:jc w:val="both"/>
              <w:rPr>
                <w:color w:val="000000"/>
                <w:sz w:val="24"/>
                <w:szCs w:val="24"/>
              </w:rPr>
            </w:pPr>
            <w:r>
              <w:rPr>
                <w:color w:val="000000"/>
                <w:sz w:val="22"/>
                <w:szCs w:val="22"/>
              </w:rPr>
              <w:t xml:space="preserve">5. </w:t>
            </w:r>
            <w:r w:rsidRPr="00B02488">
              <w:rPr>
                <w:color w:val="000000"/>
                <w:sz w:val="22"/>
                <w:szCs w:val="22"/>
              </w:rPr>
              <w:t>Wniosek o wydanie zaświadczenia w przypadku osób pobierających zaświadczenie o</w:t>
            </w:r>
            <w:r>
              <w:rPr>
                <w:color w:val="000000"/>
                <w:sz w:val="22"/>
                <w:szCs w:val="22"/>
              </w:rPr>
              <w:t> </w:t>
            </w:r>
            <w:r w:rsidRPr="00B02488">
              <w:rPr>
                <w:color w:val="000000"/>
                <w:sz w:val="22"/>
                <w:szCs w:val="22"/>
              </w:rPr>
              <w:t>zameldowaniu na pobyt czasowy.</w:t>
            </w:r>
          </w:p>
        </w:tc>
      </w:tr>
      <w:tr w:rsidR="00FE522E" w:rsidRPr="0066148B" w14:paraId="53D7FF03" w14:textId="77777777" w:rsidTr="00E23177">
        <w:tblPrEx>
          <w:tblCellMar>
            <w:top w:w="0" w:type="dxa"/>
            <w:bottom w:w="0" w:type="dxa"/>
          </w:tblCellMar>
        </w:tblPrEx>
        <w:tc>
          <w:tcPr>
            <w:tcW w:w="9284" w:type="dxa"/>
          </w:tcPr>
          <w:p w14:paraId="6C75FCA6" w14:textId="77777777" w:rsidR="00FE522E" w:rsidRPr="0066148B" w:rsidRDefault="00FE522E" w:rsidP="00E23177">
            <w:pPr>
              <w:ind w:left="709"/>
              <w:rPr>
                <w:sz w:val="24"/>
              </w:rPr>
            </w:pPr>
            <w:r w:rsidRPr="0066148B">
              <w:rPr>
                <w:b/>
                <w:sz w:val="24"/>
                <w:u w:val="single"/>
              </w:rPr>
              <w:t>Opłaty</w:t>
            </w:r>
            <w:r w:rsidRPr="0066148B">
              <w:rPr>
                <w:sz w:val="24"/>
              </w:rPr>
              <w:t>:</w:t>
            </w:r>
          </w:p>
          <w:p w14:paraId="056A5176" w14:textId="77777777" w:rsidR="00FE522E" w:rsidRPr="0082253A" w:rsidRDefault="00FE522E" w:rsidP="00E23177">
            <w:pPr>
              <w:ind w:left="709"/>
              <w:jc w:val="both"/>
              <w:rPr>
                <w:sz w:val="24"/>
              </w:rPr>
            </w:pPr>
            <w:r w:rsidRPr="0082253A">
              <w:rPr>
                <w:sz w:val="24"/>
              </w:rPr>
              <w:t>Wnioskodawca otrzymuje z urzędu bezpłatne zaświadczenie o zameldowaniu na pobyt stały.</w:t>
            </w:r>
          </w:p>
          <w:p w14:paraId="5AC3D7BC" w14:textId="77777777" w:rsidR="00FE522E" w:rsidRDefault="00FE522E" w:rsidP="00E23177">
            <w:pPr>
              <w:ind w:left="709"/>
              <w:jc w:val="both"/>
              <w:rPr>
                <w:b/>
                <w:sz w:val="24"/>
              </w:rPr>
            </w:pPr>
            <w:r w:rsidRPr="0082253A">
              <w:rPr>
                <w:sz w:val="24"/>
              </w:rPr>
              <w:t xml:space="preserve">Wnioskodawca otrzymuje na wniosek zaświadczenie o zameldowaniu na pobyt czasowy. Opłata skarbowa za zaświadczenie wynosi </w:t>
            </w:r>
            <w:r w:rsidRPr="0082253A">
              <w:rPr>
                <w:b/>
                <w:sz w:val="24"/>
              </w:rPr>
              <w:t>17 zł.</w:t>
            </w:r>
          </w:p>
          <w:p w14:paraId="26382628" w14:textId="77777777" w:rsidR="00FE522E" w:rsidRPr="00DE2577" w:rsidRDefault="00FE522E" w:rsidP="00E23177">
            <w:pPr>
              <w:ind w:left="709"/>
              <w:jc w:val="both"/>
              <w:rPr>
                <w:sz w:val="24"/>
              </w:rPr>
            </w:pPr>
            <w:r w:rsidRPr="00DE2577">
              <w:rPr>
                <w:sz w:val="24"/>
              </w:rPr>
              <w:t>Ustawa o opłacie skarbowej określa zwolnienia z opłat.</w:t>
            </w:r>
          </w:p>
          <w:p w14:paraId="531CA4B9" w14:textId="77777777" w:rsidR="00FE522E" w:rsidRPr="0066148B" w:rsidRDefault="00FE522E" w:rsidP="00E23177">
            <w:pPr>
              <w:ind w:left="709"/>
              <w:jc w:val="both"/>
              <w:rPr>
                <w:b/>
                <w:sz w:val="24"/>
              </w:rPr>
            </w:pPr>
            <w:r w:rsidRPr="0066148B">
              <w:rPr>
                <w:sz w:val="24"/>
              </w:rPr>
              <w:lastRenderedPageBreak/>
              <w:t>Wpłatę z tytułu opłaty skarbowej należy dokonać na nr rachunku bankowego</w:t>
            </w:r>
            <w:r w:rsidRPr="0066148B">
              <w:rPr>
                <w:b/>
                <w:sz w:val="24"/>
              </w:rPr>
              <w:t xml:space="preserve">: </w:t>
            </w:r>
          </w:p>
          <w:p w14:paraId="0CE81F08" w14:textId="77777777" w:rsidR="00FE522E" w:rsidRDefault="00FE522E" w:rsidP="00E23177">
            <w:pPr>
              <w:ind w:left="709"/>
              <w:jc w:val="both"/>
              <w:rPr>
                <w:b/>
                <w:sz w:val="24"/>
              </w:rPr>
            </w:pPr>
          </w:p>
          <w:p w14:paraId="3FFB36DF" w14:textId="77777777" w:rsidR="00FE522E" w:rsidRDefault="00FE522E" w:rsidP="00E23177">
            <w:pPr>
              <w:ind w:left="709"/>
              <w:jc w:val="both"/>
              <w:rPr>
                <w:b/>
                <w:sz w:val="24"/>
              </w:rPr>
            </w:pPr>
            <w:r w:rsidRPr="0066148B">
              <w:rPr>
                <w:b/>
                <w:sz w:val="24"/>
              </w:rPr>
              <w:t>URZĄD MIASTA ZAMBRÓW Ul. Fabryczna 3, BANK SPÓŁDZIELCZY W</w:t>
            </w:r>
            <w:r>
              <w:rPr>
                <w:b/>
                <w:sz w:val="24"/>
              </w:rPr>
              <w:t> Z</w:t>
            </w:r>
            <w:r w:rsidRPr="0066148B">
              <w:rPr>
                <w:b/>
                <w:sz w:val="24"/>
              </w:rPr>
              <w:t xml:space="preserve">AMBROWIE   67 8775 0009 0010 0101 0201 0732  </w:t>
            </w:r>
          </w:p>
          <w:p w14:paraId="2374CEFF" w14:textId="77777777" w:rsidR="00FE522E" w:rsidRDefault="00FE522E" w:rsidP="00E23177">
            <w:pPr>
              <w:ind w:left="709"/>
              <w:jc w:val="both"/>
              <w:rPr>
                <w:b/>
                <w:sz w:val="24"/>
              </w:rPr>
            </w:pPr>
          </w:p>
          <w:p w14:paraId="5335D923" w14:textId="77777777" w:rsidR="00FE522E" w:rsidRPr="0066148B" w:rsidRDefault="00FE522E" w:rsidP="00E23177">
            <w:pPr>
              <w:ind w:left="709"/>
              <w:jc w:val="both"/>
              <w:rPr>
                <w:b/>
                <w:sz w:val="24"/>
              </w:rPr>
            </w:pPr>
            <w:r>
              <w:rPr>
                <w:b/>
                <w:color w:val="000000"/>
                <w:sz w:val="22"/>
                <w:szCs w:val="22"/>
              </w:rPr>
              <w:t>Istnieje możliwość</w:t>
            </w:r>
            <w:r w:rsidRPr="00B60B69">
              <w:rPr>
                <w:b/>
                <w:color w:val="000000"/>
                <w:sz w:val="22"/>
                <w:szCs w:val="22"/>
              </w:rPr>
              <w:t xml:space="preserve"> uiszczenia opłat </w:t>
            </w:r>
            <w:r>
              <w:rPr>
                <w:b/>
                <w:color w:val="000000"/>
                <w:sz w:val="22"/>
                <w:szCs w:val="22"/>
              </w:rPr>
              <w:t>w Urzędzie Miasta bez prowizji kartą płatniczą.</w:t>
            </w:r>
          </w:p>
        </w:tc>
      </w:tr>
      <w:tr w:rsidR="00FE522E" w:rsidRPr="0066148B" w14:paraId="455566AE" w14:textId="77777777" w:rsidTr="00E23177">
        <w:tblPrEx>
          <w:tblCellMar>
            <w:top w:w="0" w:type="dxa"/>
            <w:bottom w:w="0" w:type="dxa"/>
          </w:tblCellMar>
        </w:tblPrEx>
        <w:tc>
          <w:tcPr>
            <w:tcW w:w="9284" w:type="dxa"/>
          </w:tcPr>
          <w:p w14:paraId="205EF421" w14:textId="77777777" w:rsidR="00FE522E" w:rsidRDefault="00FE522E" w:rsidP="00E23177">
            <w:pPr>
              <w:rPr>
                <w:b/>
                <w:sz w:val="24"/>
                <w:u w:val="single"/>
              </w:rPr>
            </w:pPr>
            <w:r w:rsidRPr="0066148B">
              <w:rPr>
                <w:b/>
                <w:sz w:val="24"/>
                <w:u w:val="single"/>
              </w:rPr>
              <w:lastRenderedPageBreak/>
              <w:t>Miejsce złożenia dokumentów:</w:t>
            </w:r>
          </w:p>
          <w:p w14:paraId="75C847E3" w14:textId="77777777" w:rsidR="00FE522E" w:rsidRPr="0066148B" w:rsidRDefault="00FE522E" w:rsidP="00E23177">
            <w:pPr>
              <w:rPr>
                <w:b/>
                <w:sz w:val="24"/>
                <w:u w:val="single"/>
              </w:rPr>
            </w:pPr>
          </w:p>
          <w:p w14:paraId="1F7ACE9F" w14:textId="77777777" w:rsidR="00FE522E" w:rsidRPr="0066148B" w:rsidRDefault="00FE522E" w:rsidP="00E23177">
            <w:pPr>
              <w:ind w:left="709"/>
              <w:rPr>
                <w:sz w:val="24"/>
              </w:rPr>
            </w:pPr>
            <w:r w:rsidRPr="0066148B">
              <w:rPr>
                <w:sz w:val="24"/>
              </w:rPr>
              <w:t>Wydział Spraw Obywatelskich, pokój 227</w:t>
            </w:r>
          </w:p>
        </w:tc>
      </w:tr>
      <w:tr w:rsidR="00FE522E" w:rsidRPr="0066148B" w14:paraId="2AED6A95" w14:textId="77777777" w:rsidTr="00E23177">
        <w:tblPrEx>
          <w:tblCellMar>
            <w:top w:w="0" w:type="dxa"/>
            <w:bottom w:w="0" w:type="dxa"/>
          </w:tblCellMar>
        </w:tblPrEx>
        <w:tc>
          <w:tcPr>
            <w:tcW w:w="9284" w:type="dxa"/>
          </w:tcPr>
          <w:p w14:paraId="7850EE89" w14:textId="77777777" w:rsidR="00FE522E" w:rsidRPr="0066148B" w:rsidRDefault="00FE522E" w:rsidP="00E23177">
            <w:pPr>
              <w:rPr>
                <w:b/>
                <w:sz w:val="24"/>
                <w:u w:val="single"/>
              </w:rPr>
            </w:pPr>
            <w:r w:rsidRPr="0066148B">
              <w:rPr>
                <w:b/>
                <w:sz w:val="24"/>
                <w:u w:val="single"/>
              </w:rPr>
              <w:t>Sprawę załatwia i udziela szczegółowych wyjaśnień:</w:t>
            </w:r>
          </w:p>
          <w:p w14:paraId="53DBE8FE" w14:textId="77777777" w:rsidR="00FE522E" w:rsidRPr="0066148B" w:rsidRDefault="00FE522E" w:rsidP="00E23177">
            <w:pPr>
              <w:numPr>
                <w:ilvl w:val="0"/>
                <w:numId w:val="2"/>
              </w:numPr>
              <w:rPr>
                <w:b/>
                <w:sz w:val="24"/>
                <w:u w:val="single"/>
              </w:rPr>
            </w:pPr>
            <w:r w:rsidRPr="0066148B">
              <w:rPr>
                <w:sz w:val="24"/>
              </w:rPr>
              <w:t>Nazwa Wydziału/Stanowiska: Wydział Spraw Obywatelskich</w:t>
            </w:r>
          </w:p>
          <w:p w14:paraId="36862F6A" w14:textId="77777777" w:rsidR="00FE522E" w:rsidRPr="0066148B" w:rsidRDefault="00FE522E" w:rsidP="00E23177">
            <w:pPr>
              <w:numPr>
                <w:ilvl w:val="0"/>
                <w:numId w:val="2"/>
              </w:numPr>
              <w:rPr>
                <w:b/>
                <w:sz w:val="24"/>
                <w:u w:val="single"/>
              </w:rPr>
            </w:pPr>
            <w:r w:rsidRPr="0066148B">
              <w:rPr>
                <w:sz w:val="24"/>
              </w:rPr>
              <w:t>Nr pokoju: 227</w:t>
            </w:r>
          </w:p>
          <w:p w14:paraId="54D5D8DD" w14:textId="77777777" w:rsidR="00FE522E" w:rsidRPr="0066148B" w:rsidRDefault="00FE522E" w:rsidP="00E23177">
            <w:pPr>
              <w:numPr>
                <w:ilvl w:val="0"/>
                <w:numId w:val="2"/>
              </w:numPr>
              <w:rPr>
                <w:b/>
                <w:sz w:val="24"/>
                <w:u w:val="single"/>
              </w:rPr>
            </w:pPr>
            <w:r w:rsidRPr="0066148B">
              <w:rPr>
                <w:sz w:val="24"/>
              </w:rPr>
              <w:t>Nr telefonu: 86 271-22-10; 271-27-30; 271-48-31  w. 42</w:t>
            </w:r>
          </w:p>
        </w:tc>
      </w:tr>
      <w:tr w:rsidR="00FE522E" w:rsidRPr="0066148B" w14:paraId="22BA3D4C" w14:textId="77777777" w:rsidTr="00E23177">
        <w:tblPrEx>
          <w:tblCellMar>
            <w:top w:w="0" w:type="dxa"/>
            <w:bottom w:w="0" w:type="dxa"/>
          </w:tblCellMar>
        </w:tblPrEx>
        <w:tc>
          <w:tcPr>
            <w:tcW w:w="9284" w:type="dxa"/>
          </w:tcPr>
          <w:p w14:paraId="711E96DD" w14:textId="77777777" w:rsidR="00FE522E" w:rsidRPr="0066148B" w:rsidRDefault="00FE522E" w:rsidP="00E23177">
            <w:pPr>
              <w:rPr>
                <w:b/>
                <w:sz w:val="24"/>
                <w:u w:val="single"/>
              </w:rPr>
            </w:pPr>
            <w:r w:rsidRPr="0066148B">
              <w:rPr>
                <w:b/>
                <w:sz w:val="24"/>
                <w:u w:val="single"/>
              </w:rPr>
              <w:t>Godziny Urzędowania:</w:t>
            </w:r>
          </w:p>
          <w:p w14:paraId="3D8E9A17" w14:textId="77777777" w:rsidR="00FE522E" w:rsidRPr="0066148B" w:rsidRDefault="00FE522E" w:rsidP="00E23177">
            <w:pPr>
              <w:numPr>
                <w:ilvl w:val="0"/>
                <w:numId w:val="1"/>
              </w:numPr>
              <w:rPr>
                <w:sz w:val="24"/>
              </w:rPr>
            </w:pPr>
            <w:r w:rsidRPr="0066148B">
              <w:rPr>
                <w:sz w:val="24"/>
              </w:rPr>
              <w:t>poniedziałek – piątek: 7</w:t>
            </w:r>
            <w:r w:rsidRPr="0066148B">
              <w:rPr>
                <w:sz w:val="24"/>
                <w:u w:val="single"/>
                <w:vertAlign w:val="superscript"/>
              </w:rPr>
              <w:t>30</w:t>
            </w:r>
            <w:r w:rsidRPr="0066148B">
              <w:rPr>
                <w:sz w:val="24"/>
              </w:rPr>
              <w:t xml:space="preserve"> – 15</w:t>
            </w:r>
            <w:r w:rsidRPr="0066148B">
              <w:rPr>
                <w:sz w:val="24"/>
                <w:u w:val="single"/>
                <w:vertAlign w:val="superscript"/>
              </w:rPr>
              <w:t>30</w:t>
            </w:r>
          </w:p>
        </w:tc>
      </w:tr>
      <w:tr w:rsidR="00FE522E" w:rsidRPr="0066148B" w14:paraId="458F9925" w14:textId="77777777" w:rsidTr="00E23177">
        <w:tblPrEx>
          <w:tblCellMar>
            <w:top w:w="0" w:type="dxa"/>
            <w:bottom w:w="0" w:type="dxa"/>
          </w:tblCellMar>
        </w:tblPrEx>
        <w:tc>
          <w:tcPr>
            <w:tcW w:w="9284" w:type="dxa"/>
          </w:tcPr>
          <w:p w14:paraId="5DCE5763" w14:textId="77777777" w:rsidR="00FE522E" w:rsidRPr="0066148B" w:rsidRDefault="00FE522E" w:rsidP="00E23177">
            <w:pPr>
              <w:rPr>
                <w:b/>
                <w:sz w:val="24"/>
                <w:u w:val="single"/>
              </w:rPr>
            </w:pPr>
            <w:r w:rsidRPr="0066148B">
              <w:rPr>
                <w:b/>
                <w:sz w:val="24"/>
                <w:u w:val="single"/>
              </w:rPr>
              <w:t>Termin załatwienia sprawy:</w:t>
            </w:r>
          </w:p>
          <w:p w14:paraId="4FFB5571" w14:textId="77777777" w:rsidR="00FE522E" w:rsidRDefault="00FE522E" w:rsidP="00E23177">
            <w:pPr>
              <w:rPr>
                <w:sz w:val="24"/>
                <w:szCs w:val="24"/>
              </w:rPr>
            </w:pPr>
            <w:r>
              <w:rPr>
                <w:sz w:val="24"/>
                <w:szCs w:val="24"/>
              </w:rPr>
              <w:t xml:space="preserve">      </w:t>
            </w:r>
            <w:r w:rsidRPr="0066148B">
              <w:rPr>
                <w:sz w:val="24"/>
                <w:szCs w:val="24"/>
              </w:rPr>
              <w:t xml:space="preserve">Niezwłocznie po zgłoszeniu się do Wydziału Spraw Obywatelskich </w:t>
            </w:r>
          </w:p>
          <w:p w14:paraId="7809C024" w14:textId="77777777" w:rsidR="00FE522E" w:rsidRDefault="00FE522E" w:rsidP="00E23177">
            <w:pPr>
              <w:jc w:val="both"/>
              <w:rPr>
                <w:sz w:val="24"/>
                <w:szCs w:val="24"/>
              </w:rPr>
            </w:pPr>
            <w:r>
              <w:rPr>
                <w:sz w:val="24"/>
                <w:szCs w:val="24"/>
              </w:rPr>
              <w:t xml:space="preserve">      J</w:t>
            </w:r>
            <w:r w:rsidRPr="00375E6B">
              <w:rPr>
                <w:sz w:val="24"/>
                <w:szCs w:val="24"/>
              </w:rPr>
              <w:t>eżeli dane zawarte w zgłoszeniu budzą wątpliwości, o zameldowaniu rozstrzyga przeprowadzone postępowanie administracyjne zakończone wydaniem decyzji administracyjnej. Decyzja wydawana jest w ciągu m</w:t>
            </w:r>
            <w:r>
              <w:rPr>
                <w:sz w:val="24"/>
                <w:szCs w:val="24"/>
              </w:rPr>
              <w:t xml:space="preserve">iesiąca od złożenia zgłoszenia, </w:t>
            </w:r>
            <w:r w:rsidRPr="00375E6B">
              <w:rPr>
                <w:sz w:val="24"/>
                <w:szCs w:val="24"/>
              </w:rPr>
              <w:t>a</w:t>
            </w:r>
            <w:r>
              <w:rPr>
                <w:sz w:val="24"/>
                <w:szCs w:val="24"/>
              </w:rPr>
              <w:t> </w:t>
            </w:r>
            <w:r w:rsidRPr="00375E6B">
              <w:rPr>
                <w:sz w:val="24"/>
                <w:szCs w:val="24"/>
              </w:rPr>
              <w:t>w</w:t>
            </w:r>
            <w:r>
              <w:rPr>
                <w:sz w:val="24"/>
                <w:szCs w:val="24"/>
              </w:rPr>
              <w:t> </w:t>
            </w:r>
            <w:r w:rsidRPr="00375E6B">
              <w:rPr>
                <w:sz w:val="24"/>
                <w:szCs w:val="24"/>
              </w:rPr>
              <w:t xml:space="preserve">sytuacjach szczególnie skomplikowanych termin ten może zostać wydłużony do </w:t>
            </w:r>
          </w:p>
          <w:p w14:paraId="291D1B18" w14:textId="77777777" w:rsidR="00FE522E" w:rsidRPr="0066148B" w:rsidRDefault="00FE522E" w:rsidP="00E23177">
            <w:pPr>
              <w:jc w:val="both"/>
              <w:rPr>
                <w:sz w:val="24"/>
                <w:szCs w:val="24"/>
              </w:rPr>
            </w:pPr>
            <w:r w:rsidRPr="00375E6B">
              <w:rPr>
                <w:sz w:val="24"/>
                <w:szCs w:val="24"/>
              </w:rPr>
              <w:t>2 miesięcy.</w:t>
            </w:r>
          </w:p>
          <w:p w14:paraId="5CA51E7D" w14:textId="77777777" w:rsidR="00FE522E" w:rsidRPr="0066148B" w:rsidRDefault="00FE522E" w:rsidP="00E23177">
            <w:pPr>
              <w:rPr>
                <w:sz w:val="24"/>
                <w:szCs w:val="24"/>
              </w:rPr>
            </w:pPr>
          </w:p>
        </w:tc>
      </w:tr>
      <w:tr w:rsidR="00FE522E" w:rsidRPr="0066148B" w14:paraId="01BE5A42" w14:textId="77777777" w:rsidTr="00E23177">
        <w:tblPrEx>
          <w:tblCellMar>
            <w:top w:w="0" w:type="dxa"/>
            <w:bottom w:w="0" w:type="dxa"/>
          </w:tblCellMar>
        </w:tblPrEx>
        <w:tc>
          <w:tcPr>
            <w:tcW w:w="9284" w:type="dxa"/>
          </w:tcPr>
          <w:p w14:paraId="30F30452" w14:textId="77777777" w:rsidR="00FE522E" w:rsidRPr="0066148B" w:rsidRDefault="00FE522E" w:rsidP="00E23177">
            <w:pPr>
              <w:rPr>
                <w:b/>
                <w:sz w:val="24"/>
                <w:u w:val="single"/>
              </w:rPr>
            </w:pPr>
            <w:r w:rsidRPr="0066148B">
              <w:rPr>
                <w:b/>
                <w:sz w:val="24"/>
                <w:u w:val="single"/>
              </w:rPr>
              <w:t>Tryb odwoławczy:</w:t>
            </w:r>
          </w:p>
          <w:p w14:paraId="75F99C7F" w14:textId="77777777" w:rsidR="00FE522E" w:rsidRPr="0066148B" w:rsidRDefault="00FE522E" w:rsidP="00E23177">
            <w:pPr>
              <w:ind w:left="709"/>
              <w:rPr>
                <w:sz w:val="24"/>
              </w:rPr>
            </w:pPr>
            <w:r w:rsidRPr="0066148B">
              <w:rPr>
                <w:sz w:val="24"/>
              </w:rPr>
              <w:t>Nie występuje</w:t>
            </w:r>
          </w:p>
          <w:p w14:paraId="03F5A4C2" w14:textId="77777777" w:rsidR="00FE522E" w:rsidRPr="0066148B" w:rsidRDefault="00FE522E" w:rsidP="00E23177">
            <w:pPr>
              <w:ind w:left="709"/>
              <w:rPr>
                <w:sz w:val="24"/>
              </w:rPr>
            </w:pPr>
          </w:p>
        </w:tc>
      </w:tr>
      <w:tr w:rsidR="00FE522E" w:rsidRPr="0066148B" w14:paraId="28F5825F" w14:textId="77777777" w:rsidTr="00E23177">
        <w:tblPrEx>
          <w:tblCellMar>
            <w:top w:w="0" w:type="dxa"/>
            <w:bottom w:w="0" w:type="dxa"/>
          </w:tblCellMar>
        </w:tblPrEx>
        <w:tc>
          <w:tcPr>
            <w:tcW w:w="9284" w:type="dxa"/>
          </w:tcPr>
          <w:p w14:paraId="7E9936CB" w14:textId="77777777" w:rsidR="00FE522E" w:rsidRDefault="00FE522E" w:rsidP="00E23177">
            <w:pPr>
              <w:rPr>
                <w:sz w:val="24"/>
                <w:u w:val="single"/>
              </w:rPr>
            </w:pPr>
            <w:r>
              <w:rPr>
                <w:sz w:val="24"/>
                <w:u w:val="single"/>
              </w:rPr>
              <w:t>Informacje dodatkowe:</w:t>
            </w:r>
          </w:p>
          <w:p w14:paraId="56D7F904" w14:textId="77777777" w:rsidR="00FE522E" w:rsidRPr="001052A5" w:rsidRDefault="00FE522E" w:rsidP="00FE522E">
            <w:pPr>
              <w:numPr>
                <w:ilvl w:val="0"/>
                <w:numId w:val="4"/>
              </w:numPr>
              <w:jc w:val="both"/>
              <w:rPr>
                <w:sz w:val="24"/>
                <w:u w:val="single"/>
              </w:rPr>
            </w:pPr>
            <w:r w:rsidRPr="001052A5">
              <w:rPr>
                <w:color w:val="000000"/>
                <w:sz w:val="24"/>
                <w:szCs w:val="24"/>
              </w:rPr>
              <w:t>Obywatel polski przebywający na terytorium Rzeczypospolitej Polskiej jest zobowiązany zameldować się w miejscu pobytu stałego lub czasowego.</w:t>
            </w:r>
          </w:p>
          <w:p w14:paraId="3678F52E" w14:textId="77777777" w:rsidR="00FE522E" w:rsidRPr="001052A5" w:rsidRDefault="00FE522E" w:rsidP="00FE522E">
            <w:pPr>
              <w:numPr>
                <w:ilvl w:val="0"/>
                <w:numId w:val="4"/>
              </w:numPr>
              <w:jc w:val="both"/>
              <w:rPr>
                <w:color w:val="000000"/>
                <w:sz w:val="24"/>
                <w:szCs w:val="24"/>
              </w:rPr>
            </w:pPr>
            <w:r w:rsidRPr="001052A5">
              <w:rPr>
                <w:color w:val="000000"/>
                <w:sz w:val="24"/>
                <w:szCs w:val="24"/>
              </w:rPr>
              <w:t>Przez pobyt czasowy obywatela polskiego należy rozumieć przebywanie poza miejscem pobytu stałego przez okres ponad 3 miesięcy.</w:t>
            </w:r>
          </w:p>
          <w:p w14:paraId="5962C0AC" w14:textId="77777777" w:rsidR="00FE522E" w:rsidRPr="001052A5" w:rsidRDefault="00FE522E" w:rsidP="00FE522E">
            <w:pPr>
              <w:numPr>
                <w:ilvl w:val="0"/>
                <w:numId w:val="4"/>
              </w:numPr>
              <w:jc w:val="both"/>
              <w:rPr>
                <w:color w:val="000000"/>
                <w:sz w:val="24"/>
                <w:szCs w:val="24"/>
              </w:rPr>
            </w:pPr>
            <w:r w:rsidRPr="001052A5">
              <w:rPr>
                <w:color w:val="000000"/>
                <w:sz w:val="24"/>
                <w:szCs w:val="24"/>
              </w:rPr>
              <w:t xml:space="preserve">Osoba zgłaszająca zameldowanie jest obowiązana złożyć wypełniony formularz </w:t>
            </w:r>
            <w:r w:rsidRPr="001052A5">
              <w:rPr>
                <w:i/>
                <w:color w:val="000000"/>
                <w:sz w:val="24"/>
                <w:szCs w:val="24"/>
              </w:rPr>
              <w:t>Zgłoszenie pobytu stałego</w:t>
            </w:r>
            <w:r w:rsidRPr="001052A5">
              <w:rPr>
                <w:color w:val="000000"/>
                <w:sz w:val="24"/>
                <w:szCs w:val="24"/>
              </w:rPr>
              <w:t xml:space="preserve"> lub </w:t>
            </w:r>
            <w:r w:rsidRPr="001052A5">
              <w:rPr>
                <w:i/>
                <w:color w:val="000000"/>
                <w:sz w:val="24"/>
                <w:szCs w:val="24"/>
              </w:rPr>
              <w:t>Zgłoszenie pobytu czasowego</w:t>
            </w:r>
            <w:r w:rsidRPr="001052A5">
              <w:rPr>
                <w:color w:val="000000"/>
                <w:sz w:val="24"/>
                <w:szCs w:val="24"/>
              </w:rPr>
              <w:t xml:space="preserve"> w organie gminy właściwym ze względu na położenie nieruchomości, w której zamieszkuje.</w:t>
            </w:r>
          </w:p>
          <w:p w14:paraId="3C8673F5" w14:textId="77777777" w:rsidR="00FE522E" w:rsidRPr="001052A5" w:rsidRDefault="00FE522E" w:rsidP="00E23177">
            <w:pPr>
              <w:ind w:left="709"/>
              <w:jc w:val="both"/>
              <w:rPr>
                <w:color w:val="000000"/>
                <w:sz w:val="24"/>
                <w:szCs w:val="24"/>
              </w:rPr>
            </w:pPr>
            <w:r w:rsidRPr="001052A5">
              <w:rPr>
                <w:color w:val="000000"/>
                <w:sz w:val="24"/>
                <w:szCs w:val="24"/>
              </w:rPr>
              <w:t>Dla każdej meldowanej osoby składa się oddzielny formularz (również dla dziecka), podpisany przez osobę meldującą się (za osobę małoletnią podpis składa przedstawiciel ustawowy, opiekun prawny lub inna osoba sprawująca nad nią faktyczną opiekę w</w:t>
            </w:r>
            <w:r>
              <w:rPr>
                <w:color w:val="000000"/>
                <w:sz w:val="24"/>
                <w:szCs w:val="24"/>
              </w:rPr>
              <w:t> </w:t>
            </w:r>
            <w:r w:rsidRPr="001052A5">
              <w:rPr>
                <w:color w:val="000000"/>
                <w:sz w:val="24"/>
                <w:szCs w:val="24"/>
              </w:rPr>
              <w:t>miejscu ich wspólnego pobytu).</w:t>
            </w:r>
          </w:p>
          <w:p w14:paraId="0D1B3FF2" w14:textId="77777777" w:rsidR="00FE522E" w:rsidRPr="001052A5" w:rsidRDefault="00FE522E" w:rsidP="00FE522E">
            <w:pPr>
              <w:numPr>
                <w:ilvl w:val="0"/>
                <w:numId w:val="4"/>
              </w:numPr>
              <w:jc w:val="both"/>
              <w:rPr>
                <w:color w:val="000000"/>
                <w:sz w:val="24"/>
                <w:szCs w:val="24"/>
              </w:rPr>
            </w:pPr>
            <w:r w:rsidRPr="001052A5">
              <w:rPr>
                <w:color w:val="000000"/>
                <w:sz w:val="24"/>
                <w:szCs w:val="24"/>
              </w:rPr>
              <w:t>Na formularzu zgłoszenia pobytu stałego lub formularzu zgłoszenia pobytu czasowego właściciel lub inny podmiot dysponujący tytułem prawnym do lokalu dokonuje potwierdzenia pobytu w lokalu.</w:t>
            </w:r>
          </w:p>
          <w:p w14:paraId="6970D465" w14:textId="77777777" w:rsidR="00FE522E" w:rsidRPr="001052A5" w:rsidRDefault="00FE522E" w:rsidP="00FE522E">
            <w:pPr>
              <w:numPr>
                <w:ilvl w:val="0"/>
                <w:numId w:val="4"/>
              </w:numPr>
              <w:jc w:val="both"/>
              <w:rPr>
                <w:color w:val="000000"/>
                <w:sz w:val="24"/>
                <w:szCs w:val="24"/>
              </w:rPr>
            </w:pPr>
            <w:r w:rsidRPr="001052A5">
              <w:rPr>
                <w:color w:val="000000"/>
                <w:sz w:val="24"/>
                <w:szCs w:val="24"/>
              </w:rPr>
              <w:t>Pobytem stałym jest zamieszkiwanie w określonej miejscowości pod oznaczonym adresem z zamiarem stałego przebywania. W tym samym czasie można mieć tylko jedno miejsce pobytu stałego.</w:t>
            </w:r>
          </w:p>
          <w:p w14:paraId="28910A59" w14:textId="77777777" w:rsidR="00FE522E" w:rsidRPr="001052A5" w:rsidRDefault="00FE522E" w:rsidP="00FE522E">
            <w:pPr>
              <w:numPr>
                <w:ilvl w:val="0"/>
                <w:numId w:val="4"/>
              </w:numPr>
              <w:jc w:val="both"/>
              <w:rPr>
                <w:color w:val="000000"/>
                <w:sz w:val="24"/>
                <w:szCs w:val="24"/>
              </w:rPr>
            </w:pPr>
            <w:r w:rsidRPr="001052A5">
              <w:rPr>
                <w:color w:val="000000"/>
                <w:sz w:val="24"/>
                <w:szCs w:val="24"/>
              </w:rPr>
              <w:t>Pobytem czasowym jest przebywanie bez zamiaru zmiany miejsca pobytu stałego w innej miejscowości pod oznaczonym adresem lub w tej samej miejscowości, lecz pod innym adresem.</w:t>
            </w:r>
          </w:p>
          <w:p w14:paraId="5F46C223" w14:textId="77777777" w:rsidR="00FE522E" w:rsidRPr="001052A5" w:rsidRDefault="00FE522E" w:rsidP="00FE522E">
            <w:pPr>
              <w:numPr>
                <w:ilvl w:val="0"/>
                <w:numId w:val="4"/>
              </w:numPr>
              <w:jc w:val="both"/>
              <w:rPr>
                <w:color w:val="000000"/>
                <w:sz w:val="24"/>
                <w:szCs w:val="24"/>
              </w:rPr>
            </w:pPr>
            <w:r w:rsidRPr="001052A5">
              <w:rPr>
                <w:color w:val="000000"/>
                <w:sz w:val="24"/>
                <w:szCs w:val="24"/>
              </w:rPr>
              <w:t>Obywatel polski przebywający na terytorium Rzeczypospolitej Polskiej jest obowiązany zameldować się w miejscu pobytu stałego lub czasowego najpóźniej w 30 dniu, licząc od dnia przybycia do tego miejsca.</w:t>
            </w:r>
          </w:p>
          <w:p w14:paraId="38928F55" w14:textId="77777777" w:rsidR="00FE522E" w:rsidRPr="001052A5" w:rsidRDefault="00FE522E" w:rsidP="00FE522E">
            <w:pPr>
              <w:numPr>
                <w:ilvl w:val="0"/>
                <w:numId w:val="4"/>
              </w:numPr>
              <w:jc w:val="both"/>
              <w:rPr>
                <w:color w:val="000000"/>
                <w:sz w:val="24"/>
                <w:szCs w:val="24"/>
              </w:rPr>
            </w:pPr>
            <w:r w:rsidRPr="001052A5">
              <w:rPr>
                <w:color w:val="000000"/>
                <w:sz w:val="24"/>
                <w:szCs w:val="24"/>
              </w:rPr>
              <w:lastRenderedPageBreak/>
              <w:t>Równocześnie można mieć jedno miejsce pobytu stałego i jedno miejsce pobytu czasowego.</w:t>
            </w:r>
          </w:p>
          <w:p w14:paraId="699188D1" w14:textId="77777777" w:rsidR="00FE522E" w:rsidRPr="001052A5" w:rsidRDefault="00FE522E" w:rsidP="00FE522E">
            <w:pPr>
              <w:numPr>
                <w:ilvl w:val="0"/>
                <w:numId w:val="4"/>
              </w:numPr>
              <w:jc w:val="both"/>
              <w:rPr>
                <w:color w:val="000000"/>
                <w:sz w:val="24"/>
                <w:szCs w:val="24"/>
              </w:rPr>
            </w:pPr>
            <w:r w:rsidRPr="001052A5">
              <w:rPr>
                <w:color w:val="000000"/>
                <w:sz w:val="24"/>
                <w:szCs w:val="24"/>
              </w:rPr>
              <w:t>Zameldowanie na pobyt stały lub czasowy służy wyłącznie celom ewidencyjnym i ma na celu potwierdzenie faktu pobytu osoby w miejscu, w którym się zameldowała.</w:t>
            </w:r>
          </w:p>
          <w:p w14:paraId="0F3AAB12" w14:textId="77777777" w:rsidR="00FE522E" w:rsidRPr="005A51C4" w:rsidRDefault="00FE522E" w:rsidP="00FE522E">
            <w:pPr>
              <w:numPr>
                <w:ilvl w:val="0"/>
                <w:numId w:val="4"/>
              </w:numPr>
              <w:jc w:val="both"/>
              <w:rPr>
                <w:b/>
                <w:color w:val="000000"/>
                <w:sz w:val="24"/>
                <w:szCs w:val="24"/>
              </w:rPr>
            </w:pPr>
            <w:r w:rsidRPr="005A51C4">
              <w:rPr>
                <w:b/>
                <w:color w:val="000000"/>
                <w:sz w:val="24"/>
                <w:szCs w:val="24"/>
              </w:rPr>
              <w:t>Zameldowania nie trzeba dokonywać osobiście.</w:t>
            </w:r>
          </w:p>
          <w:p w14:paraId="58C18FA7" w14:textId="77777777" w:rsidR="00FE522E" w:rsidRPr="001052A5" w:rsidRDefault="00FE522E" w:rsidP="00E23177">
            <w:pPr>
              <w:ind w:left="709"/>
              <w:jc w:val="both"/>
              <w:rPr>
                <w:color w:val="000000"/>
                <w:sz w:val="24"/>
                <w:szCs w:val="24"/>
              </w:rPr>
            </w:pPr>
            <w:r w:rsidRPr="001052A5">
              <w:rPr>
                <w:color w:val="000000"/>
                <w:sz w:val="24"/>
                <w:szCs w:val="24"/>
              </w:rPr>
              <w:t>Zameldowania w miejscu pobytu stałego lub czasowego można dopełnić przez pełnomocnika, legitymującego się pełnomocnictwem udzielonym na piśmie, po okazaniu przez pełnomocnika do wglądu jego dowodu osobistego lub paszportu.</w:t>
            </w:r>
          </w:p>
          <w:p w14:paraId="14B0E9C3" w14:textId="77777777" w:rsidR="00FE522E" w:rsidRPr="001052A5" w:rsidRDefault="00FE522E" w:rsidP="00E23177">
            <w:pPr>
              <w:ind w:left="709"/>
              <w:jc w:val="both"/>
              <w:rPr>
                <w:color w:val="000000"/>
                <w:sz w:val="24"/>
                <w:szCs w:val="24"/>
              </w:rPr>
            </w:pPr>
            <w:r w:rsidRPr="001052A5">
              <w:rPr>
                <w:color w:val="000000"/>
                <w:sz w:val="24"/>
                <w:szCs w:val="24"/>
              </w:rPr>
              <w:t>Za osobę nieposiadającą pełnej zdolności do czynności prawnych, obowiązku meldunkowego dokonuje jeden z rodziców, opiekun prawny lub inna osoba sprawująca nad nią faktyczną opiekę w miejscu ich wspólnego pobytu.</w:t>
            </w:r>
          </w:p>
          <w:p w14:paraId="6204AD7D" w14:textId="77777777" w:rsidR="00FE522E" w:rsidRPr="0066148B" w:rsidRDefault="00FE522E" w:rsidP="00FE522E">
            <w:pPr>
              <w:numPr>
                <w:ilvl w:val="0"/>
                <w:numId w:val="4"/>
              </w:numPr>
              <w:jc w:val="both"/>
              <w:rPr>
                <w:color w:val="000000"/>
                <w:sz w:val="24"/>
                <w:szCs w:val="24"/>
              </w:rPr>
            </w:pPr>
            <w:r w:rsidRPr="001052A5">
              <w:rPr>
                <w:color w:val="000000"/>
                <w:sz w:val="24"/>
                <w:szCs w:val="24"/>
              </w:rPr>
              <w:t>Zgłaszając zameldowanie można je</w:t>
            </w:r>
            <w:r>
              <w:rPr>
                <w:color w:val="000000"/>
                <w:sz w:val="24"/>
                <w:szCs w:val="24"/>
              </w:rPr>
              <w:t>dnocześnie dokonać wymeldowania </w:t>
            </w:r>
            <w:r w:rsidRPr="001052A5">
              <w:rPr>
                <w:color w:val="000000"/>
                <w:sz w:val="24"/>
                <w:szCs w:val="24"/>
              </w:rPr>
              <w:t>z</w:t>
            </w:r>
            <w:r>
              <w:rPr>
                <w:color w:val="000000"/>
                <w:sz w:val="24"/>
                <w:szCs w:val="24"/>
              </w:rPr>
              <w:t> </w:t>
            </w:r>
            <w:r w:rsidRPr="001052A5">
              <w:rPr>
                <w:color w:val="000000"/>
                <w:sz w:val="24"/>
                <w:szCs w:val="24"/>
              </w:rPr>
              <w:t>poprzedniego miejsca pobytu stałego lub/i czasowego, wskazując adresy dotychczasowego miejsca pobytu, z którego ma nastąpić wymeldowanie.</w:t>
            </w:r>
          </w:p>
          <w:p w14:paraId="68807178" w14:textId="77777777" w:rsidR="00FE522E" w:rsidRPr="001052A5" w:rsidRDefault="00FE522E" w:rsidP="00E23177">
            <w:pPr>
              <w:shd w:val="clear" w:color="auto" w:fill="FFFFFF"/>
              <w:spacing w:before="100" w:beforeAutospacing="1" w:after="100" w:afterAutospacing="1"/>
              <w:jc w:val="both"/>
              <w:rPr>
                <w:color w:val="000000"/>
                <w:sz w:val="24"/>
                <w:szCs w:val="24"/>
              </w:rPr>
            </w:pPr>
            <w:r>
              <w:rPr>
                <w:color w:val="000000"/>
                <w:sz w:val="24"/>
                <w:szCs w:val="24"/>
              </w:rPr>
              <w:t xml:space="preserve">           </w:t>
            </w:r>
            <w:r w:rsidRPr="001052A5">
              <w:rPr>
                <w:color w:val="000000"/>
                <w:sz w:val="24"/>
                <w:szCs w:val="24"/>
              </w:rPr>
              <w:t>Zameldowanie na pobyt stały powoduje ujęcie w rejestrze wyborców.</w:t>
            </w:r>
          </w:p>
          <w:p w14:paraId="228DF95D" w14:textId="77777777" w:rsidR="00FE522E" w:rsidRDefault="00FE522E" w:rsidP="00E23177">
            <w:pPr>
              <w:shd w:val="clear" w:color="auto" w:fill="FFFFFF"/>
              <w:spacing w:before="100" w:beforeAutospacing="1" w:after="100" w:afterAutospacing="1"/>
              <w:jc w:val="both"/>
              <w:rPr>
                <w:color w:val="000000"/>
                <w:sz w:val="24"/>
                <w:szCs w:val="24"/>
              </w:rPr>
            </w:pPr>
            <w:r>
              <w:rPr>
                <w:color w:val="000000"/>
                <w:sz w:val="24"/>
                <w:szCs w:val="24"/>
              </w:rPr>
              <w:t xml:space="preserve">           </w:t>
            </w:r>
            <w:r w:rsidRPr="001052A5">
              <w:rPr>
                <w:color w:val="000000"/>
                <w:sz w:val="24"/>
                <w:szCs w:val="24"/>
              </w:rPr>
              <w:t>Zameldowanie na pobyt czasowy nie powoduje ujęcia w rejestrze wyborców.</w:t>
            </w:r>
          </w:p>
          <w:p w14:paraId="3BA4266C" w14:textId="77777777" w:rsidR="00FE522E" w:rsidRPr="0066148B" w:rsidRDefault="00FE522E" w:rsidP="00E23177">
            <w:pPr>
              <w:shd w:val="clear" w:color="auto" w:fill="FFFFFF"/>
              <w:spacing w:before="100" w:beforeAutospacing="1" w:after="100" w:afterAutospacing="1"/>
              <w:jc w:val="both"/>
              <w:rPr>
                <w:color w:val="000000"/>
                <w:sz w:val="24"/>
                <w:szCs w:val="24"/>
              </w:rPr>
            </w:pPr>
            <w:r w:rsidRPr="0066148B">
              <w:rPr>
                <w:color w:val="000000"/>
                <w:sz w:val="24"/>
                <w:szCs w:val="24"/>
              </w:rPr>
              <w:t>Załączniki:</w:t>
            </w:r>
          </w:p>
          <w:p w14:paraId="2362DB92" w14:textId="77777777" w:rsidR="00FE522E" w:rsidRPr="002568F5" w:rsidRDefault="00FE522E" w:rsidP="00FE522E">
            <w:pPr>
              <w:numPr>
                <w:ilvl w:val="0"/>
                <w:numId w:val="3"/>
              </w:numPr>
              <w:shd w:val="clear" w:color="auto" w:fill="FFFFFF"/>
              <w:spacing w:before="100" w:beforeAutospacing="1" w:after="100" w:afterAutospacing="1"/>
              <w:jc w:val="both"/>
              <w:rPr>
                <w:color w:val="000000"/>
                <w:sz w:val="24"/>
                <w:szCs w:val="24"/>
              </w:rPr>
            </w:pPr>
            <w:r w:rsidRPr="002568F5">
              <w:rPr>
                <w:color w:val="000000"/>
                <w:sz w:val="24"/>
                <w:szCs w:val="24"/>
              </w:rPr>
              <w:t xml:space="preserve">Wzór pełnomocnictwa </w:t>
            </w:r>
          </w:p>
          <w:p w14:paraId="228E3DD1" w14:textId="77777777" w:rsidR="00FE522E" w:rsidRPr="002568F5" w:rsidRDefault="00FE522E" w:rsidP="00FE522E">
            <w:pPr>
              <w:numPr>
                <w:ilvl w:val="0"/>
                <w:numId w:val="3"/>
              </w:numPr>
              <w:shd w:val="clear" w:color="auto" w:fill="FFFFFF"/>
              <w:spacing w:before="100" w:beforeAutospacing="1" w:after="100" w:afterAutospacing="1"/>
              <w:jc w:val="both"/>
              <w:rPr>
                <w:color w:val="000000"/>
                <w:sz w:val="24"/>
                <w:szCs w:val="24"/>
              </w:rPr>
            </w:pPr>
            <w:r>
              <w:rPr>
                <w:color w:val="000000"/>
                <w:sz w:val="24"/>
                <w:szCs w:val="24"/>
              </w:rPr>
              <w:t>Zgłoszenie pobytu stałego</w:t>
            </w:r>
          </w:p>
          <w:p w14:paraId="45E6433B" w14:textId="77777777" w:rsidR="00FE522E" w:rsidRDefault="00FE522E" w:rsidP="00FE522E">
            <w:pPr>
              <w:numPr>
                <w:ilvl w:val="0"/>
                <w:numId w:val="3"/>
              </w:numPr>
              <w:shd w:val="clear" w:color="auto" w:fill="FFFFFF"/>
              <w:spacing w:before="100" w:beforeAutospacing="1" w:after="100" w:afterAutospacing="1"/>
              <w:jc w:val="both"/>
              <w:rPr>
                <w:color w:val="000000"/>
                <w:sz w:val="24"/>
                <w:szCs w:val="24"/>
              </w:rPr>
            </w:pPr>
            <w:r w:rsidRPr="002568F5">
              <w:rPr>
                <w:color w:val="000000"/>
                <w:sz w:val="24"/>
                <w:szCs w:val="24"/>
              </w:rPr>
              <w:t>Zgłoszenie pobytu czasowego</w:t>
            </w:r>
            <w:r w:rsidRPr="0066148B">
              <w:rPr>
                <w:color w:val="000000"/>
                <w:sz w:val="24"/>
                <w:szCs w:val="24"/>
              </w:rPr>
              <w:t xml:space="preserve"> </w:t>
            </w:r>
          </w:p>
          <w:p w14:paraId="2DAE1323" w14:textId="77777777" w:rsidR="00FE522E" w:rsidRDefault="00FE522E" w:rsidP="00FE522E">
            <w:pPr>
              <w:numPr>
                <w:ilvl w:val="0"/>
                <w:numId w:val="3"/>
              </w:numPr>
              <w:shd w:val="clear" w:color="auto" w:fill="FFFFFF"/>
              <w:spacing w:before="100" w:beforeAutospacing="1" w:after="100" w:afterAutospacing="1"/>
              <w:jc w:val="both"/>
              <w:rPr>
                <w:color w:val="000000"/>
                <w:sz w:val="24"/>
                <w:szCs w:val="24"/>
              </w:rPr>
            </w:pPr>
            <w:r>
              <w:rPr>
                <w:color w:val="000000"/>
                <w:sz w:val="24"/>
                <w:szCs w:val="24"/>
              </w:rPr>
              <w:t>Wniosek o wydanie zaświadczenia.</w:t>
            </w:r>
          </w:p>
          <w:p w14:paraId="0A21045A" w14:textId="77777777" w:rsidR="00FE522E" w:rsidRDefault="00FE522E" w:rsidP="00FE522E">
            <w:pPr>
              <w:numPr>
                <w:ilvl w:val="0"/>
                <w:numId w:val="3"/>
              </w:numPr>
              <w:shd w:val="clear" w:color="auto" w:fill="FFFFFF"/>
              <w:spacing w:before="100" w:beforeAutospacing="1" w:after="100" w:afterAutospacing="1"/>
              <w:jc w:val="both"/>
              <w:rPr>
                <w:color w:val="000000"/>
                <w:sz w:val="24"/>
                <w:szCs w:val="24"/>
              </w:rPr>
            </w:pPr>
            <w:r>
              <w:rPr>
                <w:color w:val="000000"/>
                <w:sz w:val="24"/>
                <w:szCs w:val="24"/>
              </w:rPr>
              <w:t xml:space="preserve">Oświadczenie właściciela - </w:t>
            </w:r>
            <w:proofErr w:type="spellStart"/>
            <w:r>
              <w:rPr>
                <w:color w:val="000000"/>
                <w:sz w:val="24"/>
                <w:szCs w:val="24"/>
              </w:rPr>
              <w:t>ePUAP</w:t>
            </w:r>
            <w:proofErr w:type="spellEnd"/>
          </w:p>
          <w:p w14:paraId="2FB0B3FB" w14:textId="77777777" w:rsidR="00FE522E" w:rsidRPr="0066148B" w:rsidRDefault="00FE522E" w:rsidP="00E23177">
            <w:pPr>
              <w:shd w:val="clear" w:color="auto" w:fill="FFFFFF"/>
              <w:spacing w:before="100" w:beforeAutospacing="1" w:after="100" w:afterAutospacing="1"/>
              <w:ind w:left="360"/>
              <w:jc w:val="both"/>
              <w:rPr>
                <w:color w:val="000000"/>
                <w:sz w:val="24"/>
                <w:szCs w:val="24"/>
              </w:rPr>
            </w:pPr>
          </w:p>
        </w:tc>
      </w:tr>
    </w:tbl>
    <w:p w14:paraId="6D973659" w14:textId="77777777" w:rsidR="00FE522E" w:rsidRPr="0066148B" w:rsidRDefault="00FE522E" w:rsidP="00FE522E"/>
    <w:p w14:paraId="5D0CEB3E" w14:textId="77777777" w:rsidR="00FE522E" w:rsidRDefault="00FE522E" w:rsidP="00FE522E"/>
    <w:p w14:paraId="53A98D8D" w14:textId="77777777" w:rsidR="00FE522E" w:rsidRPr="0066148B" w:rsidRDefault="00FE522E" w:rsidP="00FE522E">
      <w:r w:rsidRPr="0066148B">
        <w:t>Sporządził:</w:t>
      </w:r>
      <w:r w:rsidRPr="0066148B">
        <w:tab/>
      </w:r>
      <w:r w:rsidRPr="0066148B">
        <w:tab/>
      </w:r>
      <w:r w:rsidRPr="0066148B">
        <w:tab/>
        <w:t xml:space="preserve">           Zaakceptował: </w:t>
      </w:r>
      <w:r w:rsidRPr="0066148B">
        <w:tab/>
      </w:r>
      <w:r w:rsidRPr="0066148B">
        <w:tab/>
      </w:r>
      <w:r w:rsidRPr="0066148B">
        <w:tab/>
      </w:r>
      <w:r w:rsidRPr="0066148B">
        <w:tab/>
      </w:r>
      <w:r w:rsidRPr="0066148B">
        <w:tab/>
        <w:t>Zatwierdził:</w:t>
      </w:r>
    </w:p>
    <w:p w14:paraId="2AA846DF" w14:textId="77777777" w:rsidR="00FE522E" w:rsidRPr="0066148B" w:rsidRDefault="00FE522E" w:rsidP="00FE522E"/>
    <w:p w14:paraId="14B39B07" w14:textId="77777777" w:rsidR="00FE522E" w:rsidRPr="0066148B" w:rsidRDefault="00FE522E" w:rsidP="00FE522E"/>
    <w:p w14:paraId="494F0FFE" w14:textId="77777777" w:rsidR="00FE522E" w:rsidRPr="0066148B" w:rsidRDefault="00FE522E" w:rsidP="00FE522E"/>
    <w:p w14:paraId="792562CE" w14:textId="77777777" w:rsidR="00FE522E" w:rsidRPr="0066148B" w:rsidRDefault="00FE522E" w:rsidP="00FE522E">
      <w:r w:rsidRPr="0066148B">
        <w:t>………………..                                   ……………………….                                                      ………………….</w:t>
      </w:r>
    </w:p>
    <w:p w14:paraId="2A4C6961" w14:textId="77777777" w:rsidR="00FE522E" w:rsidRPr="0066148B" w:rsidRDefault="00FE522E" w:rsidP="00FE522E"/>
    <w:p w14:paraId="5073817C" w14:textId="77777777" w:rsidR="00FE522E" w:rsidRDefault="00FE522E" w:rsidP="00FE522E"/>
    <w:p w14:paraId="7A3B4451" w14:textId="77777777" w:rsidR="00FE522E" w:rsidRDefault="00FE522E" w:rsidP="00FE522E">
      <w:r w:rsidRPr="0066148B">
        <w:t xml:space="preserve">Zambrów, dn. </w:t>
      </w:r>
      <w:r>
        <w:t>27.01.2021</w:t>
      </w:r>
      <w:r w:rsidRPr="0066148B">
        <w:t xml:space="preserve"> r.</w:t>
      </w:r>
    </w:p>
    <w:p w14:paraId="4C7248CD" w14:textId="0A36BDF7" w:rsidR="009270AC" w:rsidRDefault="009270AC" w:rsidP="00FE522E"/>
    <w:sectPr w:rsidR="00927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46C6C"/>
    <w:multiLevelType w:val="hybridMultilevel"/>
    <w:tmpl w:val="761A2E5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2723B9"/>
    <w:multiLevelType w:val="singleLevel"/>
    <w:tmpl w:val="849278D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A0778A1"/>
    <w:multiLevelType w:val="singleLevel"/>
    <w:tmpl w:val="87F8BCFC"/>
    <w:lvl w:ilvl="0">
      <w:start w:val="1"/>
      <w:numFmt w:val="bullet"/>
      <w:lvlText w:val=""/>
      <w:lvlJc w:val="left"/>
      <w:pPr>
        <w:tabs>
          <w:tab w:val="num" w:pos="1080"/>
        </w:tabs>
        <w:ind w:left="1060" w:hanging="340"/>
      </w:pPr>
      <w:rPr>
        <w:rFonts w:ascii="Wingdings" w:hAnsi="Wingdings" w:hint="default"/>
      </w:rPr>
    </w:lvl>
  </w:abstractNum>
  <w:abstractNum w:abstractNumId="3" w15:restartNumberingAfterBreak="0">
    <w:nsid w:val="7C410DE2"/>
    <w:multiLevelType w:val="hybridMultilevel"/>
    <w:tmpl w:val="DEE81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2E"/>
    <w:rsid w:val="009270AC"/>
    <w:rsid w:val="00FE5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2AE2"/>
  <w15:chartTrackingRefBased/>
  <w15:docId w15:val="{7CC7B969-DB2A-4AE3-B1D7-8A1E5296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22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zambr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mbrow.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5837</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2021-02-12T08:25:00Z</dcterms:created>
  <dcterms:modified xsi:type="dcterms:W3CDTF">2021-02-12T08:25:00Z</dcterms:modified>
</cp:coreProperties>
</file>